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D4" w:rsidRPr="007111D4" w:rsidRDefault="007111D4" w:rsidP="007111D4">
      <w:pPr>
        <w:pStyle w:val="TaxBodyText"/>
        <w:jc w:val="center"/>
        <w:rPr>
          <w:rFonts w:ascii="Arial" w:hAnsi="Arial" w:cs="Arial"/>
          <w:b/>
          <w:sz w:val="28"/>
          <w:szCs w:val="24"/>
        </w:rPr>
      </w:pPr>
      <w:r w:rsidRPr="007111D4">
        <w:rPr>
          <w:rFonts w:ascii="Arial" w:hAnsi="Arial" w:cs="Arial"/>
          <w:b/>
          <w:sz w:val="28"/>
          <w:szCs w:val="24"/>
        </w:rPr>
        <w:t>Statute of Limitations on Credits or Refunds</w:t>
      </w:r>
    </w:p>
    <w:p w:rsidR="007111D4" w:rsidRPr="007111D4" w:rsidRDefault="007111D4" w:rsidP="00292F8B">
      <w:pPr>
        <w:pStyle w:val="TaxBodyText"/>
        <w:spacing w:after="120"/>
        <w:rPr>
          <w:rFonts w:ascii="Arial" w:hAnsi="Arial" w:cs="Arial"/>
          <w:szCs w:val="24"/>
        </w:rPr>
      </w:pPr>
      <w:r w:rsidRPr="007111D4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25DF" wp14:editId="089DC42A">
                <wp:simplePos x="0" y="0"/>
                <wp:positionH relativeFrom="column">
                  <wp:posOffset>5315</wp:posOffset>
                </wp:positionH>
                <wp:positionV relativeFrom="paragraph">
                  <wp:posOffset>-680</wp:posOffset>
                </wp:positionV>
                <wp:extent cx="6368903" cy="4571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903" cy="45719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4pt;margin-top:-.05pt;width:50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" fillcolor="#a0a0a0" stroked="f"/>
            </w:pict>
          </mc:Fallback>
        </mc:AlternateContent>
      </w:r>
    </w:p>
    <w:p w:rsidR="00674639" w:rsidRPr="00757A90" w:rsidRDefault="00BA5F31" w:rsidP="00292F8B">
      <w:pPr>
        <w:pStyle w:val="TaxBodyText"/>
        <w:rPr>
          <w:rFonts w:ascii="Arial" w:hAnsi="Arial" w:cs="Arial"/>
          <w:b/>
          <w:u w:val="single"/>
        </w:rPr>
      </w:pPr>
      <w:r w:rsidRPr="00757A90">
        <w:rPr>
          <w:rFonts w:ascii="Arial" w:hAnsi="Arial" w:cs="Arial"/>
          <w:b/>
          <w:u w:val="single"/>
        </w:rPr>
        <w:t>Requirements to File Claim and Limitations o</w:t>
      </w:r>
      <w:r w:rsidR="001A4DDA" w:rsidRPr="00757A90">
        <w:rPr>
          <w:rFonts w:ascii="Arial" w:hAnsi="Arial" w:cs="Arial"/>
          <w:b/>
          <w:u w:val="single"/>
        </w:rPr>
        <w:t>n</w:t>
      </w:r>
      <w:r w:rsidRPr="00757A90">
        <w:rPr>
          <w:rFonts w:ascii="Arial" w:hAnsi="Arial" w:cs="Arial"/>
          <w:b/>
          <w:u w:val="single"/>
        </w:rPr>
        <w:t xml:space="preserve"> Filing – </w:t>
      </w:r>
      <w:r w:rsidR="007111D4" w:rsidRPr="00757A90">
        <w:rPr>
          <w:rFonts w:ascii="Arial" w:hAnsi="Arial" w:cs="Arial"/>
          <w:b/>
          <w:u w:val="single"/>
        </w:rPr>
        <w:t xml:space="preserve">Section 6511 </w:t>
      </w:r>
      <w:r w:rsidRPr="00757A90">
        <w:rPr>
          <w:rFonts w:ascii="Arial" w:hAnsi="Arial" w:cs="Arial"/>
          <w:b/>
          <w:u w:val="single"/>
        </w:rPr>
        <w:t>and Related Regulations</w:t>
      </w:r>
    </w:p>
    <w:p w:rsidR="007111D4" w:rsidRPr="007111D4" w:rsidRDefault="007111D4" w:rsidP="007111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Claim Requirements</w:t>
      </w:r>
    </w:p>
    <w:p w:rsidR="007111D4" w:rsidRPr="007111D4" w:rsidRDefault="007111D4" w:rsidP="007111D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Treas. Reg. </w:t>
      </w:r>
      <w:r w:rsidRPr="007111D4">
        <w:rPr>
          <w:rFonts w:ascii="Arial" w:hAnsi="Arial" w:cs="Arial"/>
          <w:sz w:val="24"/>
          <w:szCs w:val="24"/>
        </w:rPr>
        <w:t>§ 301.6402-2(b)(1)</w:t>
      </w:r>
    </w:p>
    <w:p w:rsidR="007111D4" w:rsidRDefault="007111D4" w:rsidP="007111D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Writing signed by claimant under penalties of perjury</w:t>
      </w:r>
    </w:p>
    <w:p w:rsidR="00F53B59" w:rsidRDefault="007C7C3A" w:rsidP="007111D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111D4" w:rsidRPr="007111D4">
        <w:rPr>
          <w:rFonts w:ascii="Arial" w:hAnsi="Arial" w:cs="Arial"/>
          <w:sz w:val="24"/>
          <w:szCs w:val="24"/>
        </w:rPr>
        <w:t xml:space="preserve">etail the grounds for the </w:t>
      </w:r>
      <w:r>
        <w:rPr>
          <w:rFonts w:ascii="Arial" w:hAnsi="Arial" w:cs="Arial"/>
          <w:sz w:val="24"/>
          <w:szCs w:val="24"/>
        </w:rPr>
        <w:t>each credit or refund</w:t>
      </w:r>
      <w:r w:rsidR="007111D4" w:rsidRPr="007111D4">
        <w:rPr>
          <w:rFonts w:ascii="Arial" w:hAnsi="Arial" w:cs="Arial"/>
          <w:sz w:val="24"/>
          <w:szCs w:val="24"/>
        </w:rPr>
        <w:t xml:space="preserve"> claim</w:t>
      </w:r>
      <w:r>
        <w:rPr>
          <w:rFonts w:ascii="Arial" w:hAnsi="Arial" w:cs="Arial"/>
          <w:sz w:val="24"/>
          <w:szCs w:val="24"/>
        </w:rPr>
        <w:t>ed</w:t>
      </w:r>
    </w:p>
    <w:p w:rsidR="007111D4" w:rsidRDefault="007C7C3A" w:rsidP="007111D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53B59">
        <w:rPr>
          <w:rFonts w:ascii="Arial" w:hAnsi="Arial" w:cs="Arial"/>
          <w:sz w:val="24"/>
          <w:szCs w:val="24"/>
        </w:rPr>
        <w:t>nclude</w:t>
      </w:r>
      <w:r w:rsidR="007111D4" w:rsidRPr="007111D4">
        <w:rPr>
          <w:rFonts w:ascii="Arial" w:hAnsi="Arial" w:cs="Arial"/>
          <w:sz w:val="24"/>
          <w:szCs w:val="24"/>
        </w:rPr>
        <w:t xml:space="preserve"> sufficient </w:t>
      </w:r>
      <w:r>
        <w:rPr>
          <w:rFonts w:ascii="Arial" w:hAnsi="Arial" w:cs="Arial"/>
          <w:sz w:val="24"/>
          <w:szCs w:val="24"/>
        </w:rPr>
        <w:t>facts to establish</w:t>
      </w:r>
      <w:r w:rsidR="007111D4" w:rsidRPr="007111D4">
        <w:rPr>
          <w:rFonts w:ascii="Arial" w:hAnsi="Arial" w:cs="Arial"/>
          <w:sz w:val="24"/>
          <w:szCs w:val="24"/>
        </w:rPr>
        <w:t xml:space="preserve"> the basis of </w:t>
      </w:r>
      <w:r>
        <w:rPr>
          <w:rFonts w:ascii="Arial" w:hAnsi="Arial" w:cs="Arial"/>
          <w:sz w:val="24"/>
          <w:szCs w:val="24"/>
        </w:rPr>
        <w:t>each</w:t>
      </w:r>
      <w:r w:rsidR="007111D4" w:rsidRPr="007111D4">
        <w:rPr>
          <w:rFonts w:ascii="Arial" w:hAnsi="Arial" w:cs="Arial"/>
          <w:sz w:val="24"/>
          <w:szCs w:val="24"/>
        </w:rPr>
        <w:t xml:space="preserve"> claim</w:t>
      </w:r>
    </w:p>
    <w:p w:rsidR="007111D4" w:rsidRDefault="007111D4" w:rsidP="007111D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Informal Claims</w:t>
      </w:r>
      <w:r w:rsidR="00EA3911">
        <w:rPr>
          <w:rFonts w:ascii="Arial" w:hAnsi="Arial" w:cs="Arial"/>
          <w:sz w:val="24"/>
          <w:szCs w:val="24"/>
        </w:rPr>
        <w:t xml:space="preserve"> –</w:t>
      </w:r>
      <w:r w:rsidRPr="007111D4">
        <w:rPr>
          <w:rFonts w:ascii="Arial" w:hAnsi="Arial" w:cs="Arial"/>
          <w:sz w:val="24"/>
          <w:szCs w:val="24"/>
        </w:rPr>
        <w:t xml:space="preserve"> </w:t>
      </w:r>
      <w:r w:rsidRPr="007111D4">
        <w:rPr>
          <w:rFonts w:ascii="Arial" w:hAnsi="Arial" w:cs="Arial"/>
          <w:i/>
          <w:sz w:val="24"/>
          <w:szCs w:val="24"/>
        </w:rPr>
        <w:t>United States v. Kales</w:t>
      </w:r>
      <w:r w:rsidRPr="007111D4">
        <w:rPr>
          <w:rFonts w:ascii="Arial" w:hAnsi="Arial" w:cs="Arial"/>
          <w:sz w:val="24"/>
          <w:szCs w:val="24"/>
        </w:rPr>
        <w:t>, 314 U.S. 186</w:t>
      </w:r>
      <w:r w:rsidR="00337913">
        <w:rPr>
          <w:rFonts w:ascii="Arial" w:hAnsi="Arial" w:cs="Arial"/>
          <w:sz w:val="24"/>
          <w:szCs w:val="24"/>
        </w:rPr>
        <w:t>, 194</w:t>
      </w:r>
      <w:r w:rsidRPr="007111D4">
        <w:rPr>
          <w:rFonts w:ascii="Arial" w:hAnsi="Arial" w:cs="Arial"/>
          <w:sz w:val="24"/>
          <w:szCs w:val="24"/>
        </w:rPr>
        <w:t xml:space="preserve"> (1941)</w:t>
      </w:r>
    </w:p>
    <w:p w:rsidR="00783E98" w:rsidRDefault="00056079" w:rsidP="007F7A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111D4" w:rsidRPr="007111D4">
        <w:rPr>
          <w:rFonts w:ascii="Arial" w:hAnsi="Arial" w:cs="Arial"/>
          <w:sz w:val="24"/>
          <w:szCs w:val="24"/>
        </w:rPr>
        <w:t xml:space="preserve"> taxpayer </w:t>
      </w:r>
      <w:r w:rsidR="005E5F1C">
        <w:rPr>
          <w:rFonts w:ascii="Arial" w:hAnsi="Arial" w:cs="Arial"/>
          <w:sz w:val="24"/>
          <w:szCs w:val="24"/>
        </w:rPr>
        <w:t xml:space="preserve">may </w:t>
      </w:r>
      <w:r w:rsidR="009428A1">
        <w:rPr>
          <w:rFonts w:ascii="Arial" w:hAnsi="Arial" w:cs="Arial"/>
          <w:sz w:val="24"/>
          <w:szCs w:val="24"/>
        </w:rPr>
        <w:t xml:space="preserve">request a credit or refund </w:t>
      </w:r>
      <w:r w:rsidR="00497489">
        <w:rPr>
          <w:rFonts w:ascii="Arial" w:hAnsi="Arial" w:cs="Arial"/>
          <w:sz w:val="24"/>
          <w:szCs w:val="24"/>
        </w:rPr>
        <w:t>using</w:t>
      </w:r>
      <w:r w:rsidR="007111D4" w:rsidRPr="007111D4">
        <w:rPr>
          <w:rFonts w:ascii="Arial" w:hAnsi="Arial" w:cs="Arial"/>
          <w:sz w:val="24"/>
          <w:szCs w:val="24"/>
        </w:rPr>
        <w:t xml:space="preserve"> an improper form </w:t>
      </w:r>
      <w:r w:rsidR="005E5F1C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the IRS </w:t>
      </w:r>
      <w:r w:rsidR="005E5F1C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 xml:space="preserve">treat the claim </w:t>
      </w:r>
      <w:r w:rsidR="007111D4" w:rsidRPr="007111D4">
        <w:rPr>
          <w:rFonts w:ascii="Arial" w:hAnsi="Arial" w:cs="Arial"/>
          <w:sz w:val="24"/>
          <w:szCs w:val="24"/>
        </w:rPr>
        <w:t xml:space="preserve">as an informal claim for refund. </w:t>
      </w:r>
      <w:r w:rsidR="005E5F1C">
        <w:rPr>
          <w:rFonts w:ascii="Arial" w:hAnsi="Arial" w:cs="Arial"/>
          <w:sz w:val="24"/>
          <w:szCs w:val="24"/>
        </w:rPr>
        <w:t xml:space="preserve"> However, the taxpayer must file an amendment to correct any formal defects and provide specifics</w:t>
      </w:r>
    </w:p>
    <w:p w:rsidR="005E5F1C" w:rsidRDefault="00783E98" w:rsidP="00783E98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taxpayer </w:t>
      </w:r>
      <w:r w:rsidR="005E5F1C">
        <w:rPr>
          <w:rFonts w:ascii="Arial" w:hAnsi="Arial" w:cs="Arial"/>
          <w:sz w:val="24"/>
          <w:szCs w:val="24"/>
        </w:rPr>
        <w:t>may file the amendment after the statute of limitations lapses</w:t>
      </w:r>
    </w:p>
    <w:p w:rsidR="007111D4" w:rsidRPr="007111D4" w:rsidRDefault="007111D4" w:rsidP="007111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Where to File Claim</w:t>
      </w:r>
      <w:r w:rsidR="00771B53">
        <w:rPr>
          <w:rFonts w:ascii="Arial" w:hAnsi="Arial" w:cs="Arial"/>
          <w:sz w:val="24"/>
          <w:szCs w:val="24"/>
        </w:rPr>
        <w:t>s</w:t>
      </w:r>
    </w:p>
    <w:p w:rsidR="007111D4" w:rsidRPr="007111D4" w:rsidRDefault="00771B53" w:rsidP="007111D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111D4" w:rsidRPr="007111D4">
        <w:rPr>
          <w:rFonts w:ascii="Arial" w:hAnsi="Arial" w:cs="Arial"/>
          <w:sz w:val="24"/>
          <w:szCs w:val="24"/>
        </w:rPr>
        <w:t xml:space="preserve">ith the </w:t>
      </w:r>
      <w:r w:rsidR="00BA5F31">
        <w:rPr>
          <w:rFonts w:ascii="Arial" w:hAnsi="Arial" w:cs="Arial"/>
          <w:sz w:val="24"/>
          <w:szCs w:val="24"/>
        </w:rPr>
        <w:t>service center</w:t>
      </w:r>
      <w:r w:rsidR="007111D4" w:rsidRPr="007111D4">
        <w:rPr>
          <w:rFonts w:ascii="Arial" w:hAnsi="Arial" w:cs="Arial"/>
          <w:sz w:val="24"/>
          <w:szCs w:val="24"/>
        </w:rPr>
        <w:t xml:space="preserve"> where the </w:t>
      </w:r>
      <w:r w:rsidR="00BA5F31">
        <w:rPr>
          <w:rFonts w:ascii="Arial" w:hAnsi="Arial" w:cs="Arial"/>
          <w:sz w:val="24"/>
          <w:szCs w:val="24"/>
        </w:rPr>
        <w:t xml:space="preserve">taxpayer filed the </w:t>
      </w:r>
      <w:r w:rsidR="007111D4" w:rsidRPr="007111D4">
        <w:rPr>
          <w:rFonts w:ascii="Arial" w:hAnsi="Arial" w:cs="Arial"/>
          <w:sz w:val="24"/>
          <w:szCs w:val="24"/>
        </w:rPr>
        <w:t xml:space="preserve">original return </w:t>
      </w:r>
      <w:r w:rsidR="00BA5F31">
        <w:rPr>
          <w:rFonts w:ascii="Arial" w:hAnsi="Arial" w:cs="Arial"/>
          <w:sz w:val="24"/>
          <w:szCs w:val="24"/>
        </w:rPr>
        <w:t xml:space="preserve">– </w:t>
      </w:r>
      <w:r w:rsidR="00487032">
        <w:rPr>
          <w:rFonts w:ascii="Arial" w:hAnsi="Arial" w:cs="Arial"/>
          <w:sz w:val="24"/>
          <w:szCs w:val="24"/>
        </w:rPr>
        <w:br/>
      </w:r>
      <w:r w:rsidR="007111D4" w:rsidRPr="007111D4">
        <w:rPr>
          <w:rFonts w:ascii="Arial" w:hAnsi="Arial" w:cs="Arial"/>
          <w:sz w:val="24"/>
          <w:szCs w:val="24"/>
        </w:rPr>
        <w:t>Treas. Reg. § 301.6402-2(a)(2)</w:t>
      </w:r>
      <w:r w:rsidR="00BA5F31">
        <w:rPr>
          <w:rFonts w:ascii="Arial" w:hAnsi="Arial" w:cs="Arial"/>
          <w:sz w:val="24"/>
          <w:szCs w:val="24"/>
        </w:rPr>
        <w:t>;</w:t>
      </w:r>
      <w:r w:rsidR="007111D4" w:rsidRPr="007111D4">
        <w:rPr>
          <w:rFonts w:ascii="Arial" w:hAnsi="Arial" w:cs="Arial"/>
          <w:sz w:val="24"/>
          <w:szCs w:val="24"/>
        </w:rPr>
        <w:t xml:space="preserve"> Treas. Reg. § 1.6091-2(e)</w:t>
      </w:r>
    </w:p>
    <w:p w:rsidR="007111D4" w:rsidRPr="007111D4" w:rsidRDefault="00771B53" w:rsidP="007111D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111D4" w:rsidRPr="007111D4">
        <w:rPr>
          <w:rFonts w:ascii="Arial" w:hAnsi="Arial" w:cs="Arial"/>
          <w:sz w:val="24"/>
          <w:szCs w:val="24"/>
        </w:rPr>
        <w:t>y mail</w:t>
      </w:r>
      <w:r>
        <w:rPr>
          <w:rFonts w:ascii="Arial" w:hAnsi="Arial" w:cs="Arial"/>
          <w:sz w:val="24"/>
          <w:szCs w:val="24"/>
        </w:rPr>
        <w:t xml:space="preserve"> –</w:t>
      </w:r>
      <w:r w:rsidR="007111D4" w:rsidRPr="007111D4">
        <w:rPr>
          <w:rFonts w:ascii="Arial" w:hAnsi="Arial" w:cs="Arial"/>
          <w:sz w:val="24"/>
          <w:szCs w:val="24"/>
        </w:rPr>
        <w:t xml:space="preserve"> the </w:t>
      </w:r>
      <w:r w:rsidR="009C77F3">
        <w:rPr>
          <w:rFonts w:ascii="Arial" w:hAnsi="Arial" w:cs="Arial"/>
          <w:sz w:val="24"/>
          <w:szCs w:val="24"/>
        </w:rPr>
        <w:t>postmark date</w:t>
      </w:r>
      <w:r w:rsidR="007111D4" w:rsidRPr="007111D4">
        <w:rPr>
          <w:rFonts w:ascii="Arial" w:hAnsi="Arial" w:cs="Arial"/>
          <w:sz w:val="24"/>
          <w:szCs w:val="24"/>
        </w:rPr>
        <w:t xml:space="preserve"> </w:t>
      </w:r>
      <w:r w:rsidR="009C77F3">
        <w:rPr>
          <w:rFonts w:ascii="Arial" w:hAnsi="Arial" w:cs="Arial"/>
          <w:sz w:val="24"/>
          <w:szCs w:val="24"/>
        </w:rPr>
        <w:t>is the claim date</w:t>
      </w:r>
      <w:r w:rsidR="007111D4" w:rsidRPr="007111D4">
        <w:rPr>
          <w:rFonts w:ascii="Arial" w:hAnsi="Arial" w:cs="Arial"/>
          <w:sz w:val="24"/>
          <w:szCs w:val="24"/>
        </w:rPr>
        <w:t xml:space="preserve"> </w:t>
      </w:r>
      <w:r w:rsidR="009C77F3">
        <w:rPr>
          <w:rFonts w:ascii="Arial" w:hAnsi="Arial" w:cs="Arial"/>
          <w:sz w:val="24"/>
          <w:szCs w:val="24"/>
        </w:rPr>
        <w:t>–</w:t>
      </w:r>
      <w:r w:rsidR="007111D4" w:rsidRPr="007111D4">
        <w:rPr>
          <w:rFonts w:ascii="Arial" w:hAnsi="Arial" w:cs="Arial"/>
          <w:sz w:val="24"/>
          <w:szCs w:val="24"/>
        </w:rPr>
        <w:t xml:space="preserve"> </w:t>
      </w:r>
      <w:r w:rsidR="009C77F3">
        <w:rPr>
          <w:rFonts w:ascii="Arial" w:hAnsi="Arial" w:cs="Arial"/>
          <w:sz w:val="24"/>
          <w:szCs w:val="24"/>
        </w:rPr>
        <w:t xml:space="preserve">See IRC </w:t>
      </w:r>
      <w:r w:rsidR="009C77F3">
        <w:rPr>
          <w:rFonts w:ascii="Calibri" w:hAnsi="Calibri" w:cs="Calibri"/>
          <w:sz w:val="24"/>
          <w:szCs w:val="24"/>
        </w:rPr>
        <w:t>§</w:t>
      </w:r>
      <w:r w:rsidR="009C77F3">
        <w:rPr>
          <w:rFonts w:ascii="Arial" w:hAnsi="Arial" w:cs="Arial"/>
          <w:sz w:val="24"/>
          <w:szCs w:val="24"/>
        </w:rPr>
        <w:t xml:space="preserve"> 7502 for types of documentation required for p</w:t>
      </w:r>
      <w:r w:rsidR="007111D4" w:rsidRPr="007111D4">
        <w:rPr>
          <w:rFonts w:ascii="Arial" w:hAnsi="Arial" w:cs="Arial"/>
          <w:sz w:val="24"/>
          <w:szCs w:val="24"/>
        </w:rPr>
        <w:t>roof of mailing</w:t>
      </w:r>
      <w:r w:rsidR="009C77F3">
        <w:rPr>
          <w:rFonts w:ascii="Arial" w:hAnsi="Arial" w:cs="Arial"/>
          <w:sz w:val="24"/>
          <w:szCs w:val="24"/>
        </w:rPr>
        <w:t>, such as</w:t>
      </w:r>
      <w:r w:rsidR="007111D4" w:rsidRPr="007111D4">
        <w:rPr>
          <w:rFonts w:ascii="Arial" w:hAnsi="Arial" w:cs="Arial"/>
          <w:sz w:val="24"/>
          <w:szCs w:val="24"/>
        </w:rPr>
        <w:t xml:space="preserve"> U.S. certified mail receipt, U.S. postmark</w:t>
      </w:r>
      <w:r w:rsidR="009C77F3">
        <w:rPr>
          <w:rFonts w:ascii="Arial" w:hAnsi="Arial" w:cs="Arial"/>
          <w:sz w:val="24"/>
          <w:szCs w:val="24"/>
        </w:rPr>
        <w:t>,</w:t>
      </w:r>
      <w:r w:rsidR="007111D4" w:rsidRPr="007111D4">
        <w:rPr>
          <w:rFonts w:ascii="Arial" w:hAnsi="Arial" w:cs="Arial"/>
          <w:sz w:val="24"/>
          <w:szCs w:val="24"/>
        </w:rPr>
        <w:t xml:space="preserve"> or approved private delivery service documentation</w:t>
      </w:r>
    </w:p>
    <w:p w:rsidR="007111D4" w:rsidRPr="007111D4" w:rsidRDefault="007111D4" w:rsidP="007111D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 xml:space="preserve">An individual my hand deliver an income tax return by filing it with any person assigned the responsibility to receive returns at the local IRS office that serves the local residence </w:t>
      </w:r>
      <w:r w:rsidR="00783E98">
        <w:rPr>
          <w:rFonts w:ascii="Arial" w:hAnsi="Arial" w:cs="Arial"/>
          <w:sz w:val="24"/>
          <w:szCs w:val="24"/>
        </w:rPr>
        <w:t>–</w:t>
      </w:r>
      <w:r w:rsidRPr="007111D4">
        <w:rPr>
          <w:rFonts w:ascii="Arial" w:hAnsi="Arial" w:cs="Arial"/>
          <w:sz w:val="24"/>
          <w:szCs w:val="24"/>
        </w:rPr>
        <w:t xml:space="preserve"> Treas. Reg. § 1.6091-2(d)</w:t>
      </w:r>
    </w:p>
    <w:p w:rsidR="008074C5" w:rsidRPr="007111D4" w:rsidRDefault="008074C5" w:rsidP="008074C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 xml:space="preserve">Limitations </w:t>
      </w:r>
      <w:r>
        <w:rPr>
          <w:rFonts w:ascii="Arial" w:hAnsi="Arial" w:cs="Arial"/>
          <w:sz w:val="24"/>
          <w:szCs w:val="24"/>
        </w:rPr>
        <w:t>on</w:t>
      </w:r>
      <w:r w:rsidRPr="007111D4">
        <w:rPr>
          <w:rFonts w:ascii="Arial" w:hAnsi="Arial" w:cs="Arial"/>
          <w:sz w:val="24"/>
          <w:szCs w:val="24"/>
        </w:rPr>
        <w:t xml:space="preserve"> Filing a </w:t>
      </w:r>
      <w:r>
        <w:rPr>
          <w:rFonts w:ascii="Arial" w:hAnsi="Arial" w:cs="Arial"/>
          <w:sz w:val="24"/>
          <w:szCs w:val="24"/>
        </w:rPr>
        <w:t xml:space="preserve">Credit or </w:t>
      </w:r>
      <w:r w:rsidRPr="007111D4">
        <w:rPr>
          <w:rFonts w:ascii="Arial" w:hAnsi="Arial" w:cs="Arial"/>
          <w:sz w:val="24"/>
          <w:szCs w:val="24"/>
        </w:rPr>
        <w:t>Refund Claim</w:t>
      </w:r>
      <w:r>
        <w:rPr>
          <w:rFonts w:ascii="Arial" w:hAnsi="Arial" w:cs="Arial"/>
          <w:sz w:val="24"/>
          <w:szCs w:val="24"/>
        </w:rPr>
        <w:t xml:space="preserve"> – </w:t>
      </w:r>
      <w:r w:rsidRPr="007111D4">
        <w:rPr>
          <w:rFonts w:ascii="Arial" w:hAnsi="Arial" w:cs="Arial"/>
          <w:sz w:val="24"/>
          <w:szCs w:val="24"/>
        </w:rPr>
        <w:t>IRC § 6511</w:t>
      </w:r>
    </w:p>
    <w:p w:rsidR="007111D4" w:rsidRPr="007111D4" w:rsidRDefault="007111D4" w:rsidP="007F7AF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Statute of Limitations for Filing a Refund Claim</w:t>
      </w:r>
      <w:r w:rsidR="008074C5" w:rsidRPr="008074C5">
        <w:rPr>
          <w:rFonts w:ascii="Arial" w:hAnsi="Arial" w:cs="Arial"/>
          <w:sz w:val="24"/>
          <w:szCs w:val="24"/>
        </w:rPr>
        <w:t xml:space="preserve"> </w:t>
      </w:r>
      <w:r w:rsidR="008074C5">
        <w:rPr>
          <w:rFonts w:ascii="Arial" w:hAnsi="Arial" w:cs="Arial"/>
          <w:sz w:val="24"/>
          <w:szCs w:val="24"/>
        </w:rPr>
        <w:t>– IRC § 6511(a)</w:t>
      </w:r>
    </w:p>
    <w:p w:rsidR="007111D4" w:rsidRPr="007111D4" w:rsidRDefault="001A4DDA" w:rsidP="007F7A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filed –</w:t>
      </w:r>
      <w:r w:rsidR="007111D4" w:rsidRPr="007111D4">
        <w:rPr>
          <w:rFonts w:ascii="Arial" w:hAnsi="Arial" w:cs="Arial"/>
          <w:sz w:val="24"/>
          <w:szCs w:val="24"/>
        </w:rPr>
        <w:t xml:space="preserve"> taxpayer must file claim by later of:</w:t>
      </w:r>
    </w:p>
    <w:p w:rsidR="007111D4" w:rsidRPr="007111D4" w:rsidRDefault="001A4DDA" w:rsidP="007F7AF5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FB6A65">
        <w:rPr>
          <w:rFonts w:ascii="Arial" w:hAnsi="Arial" w:cs="Arial"/>
          <w:sz w:val="24"/>
          <w:szCs w:val="24"/>
          <w:u w:val="single"/>
        </w:rPr>
        <w:t xml:space="preserve">Three </w:t>
      </w:r>
      <w:r w:rsidR="007111D4" w:rsidRPr="00FB6A65">
        <w:rPr>
          <w:rFonts w:ascii="Arial" w:hAnsi="Arial" w:cs="Arial"/>
          <w:sz w:val="24"/>
          <w:szCs w:val="24"/>
          <w:u w:val="single"/>
        </w:rPr>
        <w:t>years</w:t>
      </w:r>
      <w:r w:rsidR="007111D4" w:rsidRPr="007111D4">
        <w:rPr>
          <w:rFonts w:ascii="Arial" w:hAnsi="Arial" w:cs="Arial"/>
          <w:sz w:val="24"/>
          <w:szCs w:val="24"/>
        </w:rPr>
        <w:t xml:space="preserve"> from date the return is filed; or</w:t>
      </w:r>
    </w:p>
    <w:p w:rsidR="007111D4" w:rsidRDefault="001A4DDA" w:rsidP="007F7AF5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FB6A65">
        <w:rPr>
          <w:rFonts w:ascii="Arial" w:hAnsi="Arial" w:cs="Arial"/>
          <w:sz w:val="24"/>
          <w:szCs w:val="24"/>
          <w:u w:val="single"/>
        </w:rPr>
        <w:t xml:space="preserve">Two </w:t>
      </w:r>
      <w:r w:rsidR="007111D4" w:rsidRPr="00FB6A65">
        <w:rPr>
          <w:rFonts w:ascii="Arial" w:hAnsi="Arial" w:cs="Arial"/>
          <w:sz w:val="24"/>
          <w:szCs w:val="24"/>
          <w:u w:val="single"/>
        </w:rPr>
        <w:t>years</w:t>
      </w:r>
      <w:r w:rsidR="007111D4" w:rsidRPr="007111D4">
        <w:rPr>
          <w:rFonts w:ascii="Arial" w:hAnsi="Arial" w:cs="Arial"/>
          <w:sz w:val="24"/>
          <w:szCs w:val="24"/>
        </w:rPr>
        <w:t xml:space="preserve"> from the </w:t>
      </w:r>
      <w:r w:rsidR="007111D4">
        <w:rPr>
          <w:rFonts w:ascii="Arial" w:hAnsi="Arial" w:cs="Arial"/>
          <w:sz w:val="24"/>
          <w:szCs w:val="24"/>
        </w:rPr>
        <w:t xml:space="preserve">payment </w:t>
      </w:r>
      <w:r w:rsidR="0074786C">
        <w:rPr>
          <w:rFonts w:ascii="Arial" w:hAnsi="Arial" w:cs="Arial"/>
          <w:sz w:val="24"/>
          <w:szCs w:val="24"/>
        </w:rPr>
        <w:t>date of the tax claimed</w:t>
      </w:r>
      <w:r w:rsidR="00315E36">
        <w:rPr>
          <w:rFonts w:ascii="Arial" w:hAnsi="Arial" w:cs="Arial"/>
          <w:sz w:val="24"/>
          <w:szCs w:val="24"/>
        </w:rPr>
        <w:t xml:space="preserve"> as</w:t>
      </w:r>
      <w:r w:rsidR="0074786C">
        <w:rPr>
          <w:rFonts w:ascii="Arial" w:hAnsi="Arial" w:cs="Arial"/>
          <w:sz w:val="24"/>
          <w:szCs w:val="24"/>
        </w:rPr>
        <w:t xml:space="preserve"> a</w:t>
      </w:r>
      <w:r w:rsidR="007111D4">
        <w:rPr>
          <w:rFonts w:ascii="Arial" w:hAnsi="Arial" w:cs="Arial"/>
          <w:sz w:val="24"/>
          <w:szCs w:val="24"/>
        </w:rPr>
        <w:t xml:space="preserve"> refund</w:t>
      </w:r>
    </w:p>
    <w:p w:rsidR="007111D4" w:rsidRPr="007111D4" w:rsidRDefault="007111D4" w:rsidP="007F7AF5">
      <w:pPr>
        <w:spacing w:after="120" w:line="240" w:lineRule="auto"/>
        <w:ind w:left="108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b/>
          <w:sz w:val="24"/>
          <w:szCs w:val="24"/>
        </w:rPr>
        <w:t>Note:</w:t>
      </w:r>
      <w:r w:rsidRPr="007111D4">
        <w:rPr>
          <w:rFonts w:ascii="Arial" w:hAnsi="Arial" w:cs="Arial"/>
          <w:sz w:val="24"/>
          <w:szCs w:val="24"/>
        </w:rPr>
        <w:t xml:space="preserve"> </w:t>
      </w:r>
      <w:r w:rsidR="00315E36">
        <w:rPr>
          <w:rFonts w:ascii="Arial" w:hAnsi="Arial" w:cs="Arial"/>
          <w:sz w:val="24"/>
          <w:szCs w:val="24"/>
        </w:rPr>
        <w:t xml:space="preserve">The IRS will treat a return </w:t>
      </w:r>
      <w:r w:rsidRPr="007111D4">
        <w:rPr>
          <w:rFonts w:ascii="Arial" w:hAnsi="Arial" w:cs="Arial"/>
          <w:sz w:val="24"/>
          <w:szCs w:val="24"/>
        </w:rPr>
        <w:t>filed before the due date (without extensions) as if it was filed on the due date</w:t>
      </w:r>
      <w:r w:rsidR="003569E7">
        <w:rPr>
          <w:rFonts w:ascii="Arial" w:hAnsi="Arial" w:cs="Arial"/>
          <w:sz w:val="24"/>
          <w:szCs w:val="24"/>
        </w:rPr>
        <w:t xml:space="preserve"> – </w:t>
      </w:r>
      <w:r w:rsidR="003569E7" w:rsidRPr="007111D4">
        <w:rPr>
          <w:rFonts w:ascii="Arial" w:hAnsi="Arial" w:cs="Arial"/>
          <w:sz w:val="24"/>
          <w:szCs w:val="24"/>
        </w:rPr>
        <w:t>IRC § 6513(b</w:t>
      </w:r>
      <w:proofErr w:type="gramStart"/>
      <w:r w:rsidR="003569E7" w:rsidRPr="007111D4">
        <w:rPr>
          <w:rFonts w:ascii="Arial" w:hAnsi="Arial" w:cs="Arial"/>
          <w:sz w:val="24"/>
          <w:szCs w:val="24"/>
        </w:rPr>
        <w:t>)(</w:t>
      </w:r>
      <w:proofErr w:type="gramEnd"/>
      <w:r w:rsidR="003569E7" w:rsidRPr="007111D4">
        <w:rPr>
          <w:rFonts w:ascii="Arial" w:hAnsi="Arial" w:cs="Arial"/>
          <w:sz w:val="24"/>
          <w:szCs w:val="24"/>
        </w:rPr>
        <w:t>1)</w:t>
      </w:r>
    </w:p>
    <w:p w:rsidR="007111D4" w:rsidRPr="007111D4" w:rsidRDefault="00EB6F1F" w:rsidP="007F7A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111D4" w:rsidRPr="007111D4">
        <w:rPr>
          <w:rFonts w:ascii="Arial" w:hAnsi="Arial" w:cs="Arial"/>
          <w:sz w:val="24"/>
          <w:szCs w:val="24"/>
        </w:rPr>
        <w:t>o return filed</w:t>
      </w:r>
      <w:r>
        <w:rPr>
          <w:rFonts w:ascii="Arial" w:hAnsi="Arial" w:cs="Arial"/>
          <w:sz w:val="24"/>
          <w:szCs w:val="24"/>
        </w:rPr>
        <w:t xml:space="preserve"> –</w:t>
      </w:r>
      <w:r w:rsidR="007111D4" w:rsidRPr="007111D4">
        <w:rPr>
          <w:rFonts w:ascii="Arial" w:hAnsi="Arial" w:cs="Arial"/>
          <w:sz w:val="24"/>
          <w:szCs w:val="24"/>
        </w:rPr>
        <w:t xml:space="preserve"> taxpayer must file claim within </w:t>
      </w:r>
      <w:r w:rsidR="007111D4" w:rsidRPr="00FB6A65">
        <w:rPr>
          <w:rFonts w:ascii="Arial" w:hAnsi="Arial" w:cs="Arial"/>
          <w:sz w:val="24"/>
          <w:szCs w:val="24"/>
          <w:u w:val="single"/>
        </w:rPr>
        <w:t>two years</w:t>
      </w:r>
      <w:r w:rsidR="007111D4" w:rsidRPr="007111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the</w:t>
      </w:r>
      <w:r w:rsidR="007111D4" w:rsidRPr="007111D4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>date of the tax claimed as a refund</w:t>
      </w:r>
    </w:p>
    <w:p w:rsidR="008074C5" w:rsidRDefault="008074C5" w:rsidP="008074C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111D4" w:rsidRPr="007111D4">
        <w:rPr>
          <w:rFonts w:ascii="Arial" w:hAnsi="Arial" w:cs="Arial"/>
          <w:sz w:val="24"/>
          <w:szCs w:val="24"/>
        </w:rPr>
        <w:t xml:space="preserve">pecial </w:t>
      </w:r>
      <w:r>
        <w:rPr>
          <w:rFonts w:ascii="Arial" w:hAnsi="Arial" w:cs="Arial"/>
          <w:sz w:val="24"/>
          <w:szCs w:val="24"/>
        </w:rPr>
        <w:t xml:space="preserve">limitations – the following taxes have special time limitations – </w:t>
      </w:r>
      <w:r w:rsidRPr="007111D4">
        <w:rPr>
          <w:rFonts w:ascii="Arial" w:hAnsi="Arial" w:cs="Arial"/>
          <w:sz w:val="24"/>
          <w:szCs w:val="24"/>
        </w:rPr>
        <w:t>IRC § 6511(d)</w:t>
      </w:r>
    </w:p>
    <w:p w:rsidR="008074C5" w:rsidRDefault="008074C5" w:rsidP="007F7A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 debts and worthless securities</w:t>
      </w:r>
    </w:p>
    <w:p w:rsidR="008074C5" w:rsidRDefault="008074C5" w:rsidP="007F7A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Carrybacks of </w:t>
      </w:r>
      <w:r w:rsidR="007111D4" w:rsidRPr="008074C5">
        <w:rPr>
          <w:rFonts w:ascii="Arial" w:hAnsi="Arial" w:cs="Arial"/>
          <w:sz w:val="24"/>
          <w:szCs w:val="24"/>
        </w:rPr>
        <w:t>net operating loss</w:t>
      </w:r>
      <w:r>
        <w:rPr>
          <w:rFonts w:ascii="Arial" w:hAnsi="Arial" w:cs="Arial"/>
          <w:sz w:val="24"/>
          <w:szCs w:val="24"/>
        </w:rPr>
        <w:t>es, capital losses</w:t>
      </w:r>
      <w:r w:rsidR="007111D4" w:rsidRPr="008074C5">
        <w:rPr>
          <w:rFonts w:ascii="Arial" w:hAnsi="Arial" w:cs="Arial"/>
          <w:sz w:val="24"/>
          <w:szCs w:val="24"/>
        </w:rPr>
        <w:t xml:space="preserve">, and </w:t>
      </w:r>
      <w:r w:rsidR="00B629A1">
        <w:rPr>
          <w:rFonts w:ascii="Arial" w:hAnsi="Arial" w:cs="Arial"/>
          <w:sz w:val="24"/>
          <w:szCs w:val="24"/>
        </w:rPr>
        <w:t>certain</w:t>
      </w:r>
      <w:r w:rsidR="007111D4" w:rsidRPr="008074C5">
        <w:rPr>
          <w:rFonts w:ascii="Arial" w:hAnsi="Arial" w:cs="Arial"/>
          <w:sz w:val="24"/>
          <w:szCs w:val="24"/>
        </w:rPr>
        <w:t xml:space="preserve"> credits</w:t>
      </w:r>
    </w:p>
    <w:p w:rsidR="007111D4" w:rsidRPr="008074C5" w:rsidRDefault="00B629A1" w:rsidP="007F7A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misc. taxes – see IRC </w:t>
      </w:r>
      <w:r>
        <w:rPr>
          <w:rFonts w:ascii="Calibri" w:hAnsi="Calibri" w:cs="Calibri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6511(d)(3)-(8)</w:t>
      </w:r>
    </w:p>
    <w:p w:rsidR="007111D4" w:rsidRPr="007111D4" w:rsidRDefault="007111D4" w:rsidP="007F7AF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Limitation</w:t>
      </w:r>
      <w:r w:rsidR="00154554">
        <w:rPr>
          <w:rFonts w:ascii="Arial" w:hAnsi="Arial" w:cs="Arial"/>
          <w:sz w:val="24"/>
          <w:szCs w:val="24"/>
        </w:rPr>
        <w:t>s</w:t>
      </w:r>
      <w:r w:rsidRPr="007111D4">
        <w:rPr>
          <w:rFonts w:ascii="Arial" w:hAnsi="Arial" w:cs="Arial"/>
          <w:sz w:val="24"/>
          <w:szCs w:val="24"/>
        </w:rPr>
        <w:t xml:space="preserve"> on </w:t>
      </w:r>
      <w:r w:rsidR="00154554">
        <w:rPr>
          <w:rFonts w:ascii="Arial" w:hAnsi="Arial" w:cs="Arial"/>
          <w:sz w:val="24"/>
          <w:szCs w:val="24"/>
        </w:rPr>
        <w:t xml:space="preserve">the </w:t>
      </w:r>
      <w:r w:rsidRPr="007111D4">
        <w:rPr>
          <w:rFonts w:ascii="Arial" w:hAnsi="Arial" w:cs="Arial"/>
          <w:sz w:val="24"/>
          <w:szCs w:val="24"/>
        </w:rPr>
        <w:t xml:space="preserve">Amount of </w:t>
      </w:r>
      <w:r w:rsidR="00154554">
        <w:rPr>
          <w:rFonts w:ascii="Arial" w:hAnsi="Arial" w:cs="Arial"/>
          <w:sz w:val="24"/>
          <w:szCs w:val="24"/>
        </w:rPr>
        <w:t xml:space="preserve">Credit or </w:t>
      </w:r>
      <w:r w:rsidRPr="007111D4">
        <w:rPr>
          <w:rFonts w:ascii="Arial" w:hAnsi="Arial" w:cs="Arial"/>
          <w:sz w:val="24"/>
          <w:szCs w:val="24"/>
        </w:rPr>
        <w:t>Refund Allowe</w:t>
      </w:r>
      <w:r w:rsidR="00154554">
        <w:rPr>
          <w:rFonts w:ascii="Arial" w:hAnsi="Arial" w:cs="Arial"/>
          <w:sz w:val="24"/>
          <w:szCs w:val="24"/>
        </w:rPr>
        <w:t>d</w:t>
      </w:r>
      <w:r w:rsidR="00577A46" w:rsidRPr="00577A46">
        <w:rPr>
          <w:rFonts w:ascii="Arial" w:hAnsi="Arial" w:cs="Arial"/>
          <w:sz w:val="24"/>
          <w:szCs w:val="24"/>
        </w:rPr>
        <w:t xml:space="preserve"> </w:t>
      </w:r>
      <w:r w:rsidR="00577A46">
        <w:rPr>
          <w:rFonts w:ascii="Arial" w:hAnsi="Arial" w:cs="Arial"/>
          <w:sz w:val="24"/>
          <w:szCs w:val="24"/>
        </w:rPr>
        <w:t>–</w:t>
      </w:r>
      <w:r w:rsidR="00577A46" w:rsidRPr="00577A46">
        <w:rPr>
          <w:rFonts w:ascii="Arial" w:hAnsi="Arial" w:cs="Arial"/>
          <w:sz w:val="24"/>
          <w:szCs w:val="24"/>
        </w:rPr>
        <w:t xml:space="preserve"> </w:t>
      </w:r>
      <w:r w:rsidR="00577A46">
        <w:rPr>
          <w:rFonts w:ascii="Arial" w:hAnsi="Arial" w:cs="Arial"/>
          <w:sz w:val="24"/>
          <w:szCs w:val="24"/>
        </w:rPr>
        <w:t>IRC § 6511(b)</w:t>
      </w:r>
    </w:p>
    <w:p w:rsidR="007111D4" w:rsidRPr="007111D4" w:rsidRDefault="007111D4" w:rsidP="007F7A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lastRenderedPageBreak/>
        <w:t xml:space="preserve">Even if a </w:t>
      </w:r>
      <w:r w:rsidR="007C2A54">
        <w:rPr>
          <w:rFonts w:ascii="Arial" w:hAnsi="Arial" w:cs="Arial"/>
          <w:sz w:val="24"/>
          <w:szCs w:val="24"/>
        </w:rPr>
        <w:t xml:space="preserve">taxpayer files a timely </w:t>
      </w:r>
      <w:r w:rsidRPr="007111D4">
        <w:rPr>
          <w:rFonts w:ascii="Arial" w:hAnsi="Arial" w:cs="Arial"/>
          <w:sz w:val="24"/>
          <w:szCs w:val="24"/>
        </w:rPr>
        <w:t xml:space="preserve">refund claim, the </w:t>
      </w:r>
      <w:r w:rsidR="004132BB">
        <w:rPr>
          <w:rFonts w:ascii="Arial" w:hAnsi="Arial" w:cs="Arial"/>
          <w:sz w:val="24"/>
          <w:szCs w:val="24"/>
        </w:rPr>
        <w:t>law</w:t>
      </w:r>
      <w:r w:rsidR="007C2A54">
        <w:rPr>
          <w:rFonts w:ascii="Arial" w:hAnsi="Arial" w:cs="Arial"/>
          <w:sz w:val="24"/>
          <w:szCs w:val="24"/>
        </w:rPr>
        <w:t xml:space="preserve"> limit</w:t>
      </w:r>
      <w:r w:rsidR="004132BB">
        <w:rPr>
          <w:rFonts w:ascii="Arial" w:hAnsi="Arial" w:cs="Arial"/>
          <w:sz w:val="24"/>
          <w:szCs w:val="24"/>
        </w:rPr>
        <w:t>s</w:t>
      </w:r>
      <w:r w:rsidR="007C2A54">
        <w:rPr>
          <w:rFonts w:ascii="Arial" w:hAnsi="Arial" w:cs="Arial"/>
          <w:sz w:val="24"/>
          <w:szCs w:val="24"/>
        </w:rPr>
        <w:t xml:space="preserve"> the </w:t>
      </w:r>
      <w:r w:rsidRPr="007111D4">
        <w:rPr>
          <w:rFonts w:ascii="Arial" w:hAnsi="Arial" w:cs="Arial"/>
          <w:sz w:val="24"/>
          <w:szCs w:val="24"/>
        </w:rPr>
        <w:t>amount of the refund allowed</w:t>
      </w:r>
    </w:p>
    <w:p w:rsidR="00C80D73" w:rsidRDefault="007111D4" w:rsidP="007F7A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“Three-Year Look Back” Rule</w:t>
      </w:r>
      <w:r w:rsidR="00C80D73">
        <w:rPr>
          <w:rFonts w:ascii="Arial" w:hAnsi="Arial" w:cs="Arial"/>
          <w:sz w:val="24"/>
          <w:szCs w:val="24"/>
        </w:rPr>
        <w:t xml:space="preserve"> – </w:t>
      </w:r>
      <w:r w:rsidR="00C80D73" w:rsidRPr="00C80D73">
        <w:rPr>
          <w:rFonts w:ascii="Arial" w:hAnsi="Arial" w:cs="Arial"/>
          <w:sz w:val="24"/>
          <w:szCs w:val="24"/>
        </w:rPr>
        <w:t>IRC § 6511(b)(2)(A)</w:t>
      </w:r>
      <w:r w:rsidRPr="007111D4">
        <w:rPr>
          <w:rFonts w:ascii="Arial" w:hAnsi="Arial" w:cs="Arial"/>
          <w:sz w:val="24"/>
          <w:szCs w:val="24"/>
        </w:rPr>
        <w:t xml:space="preserve"> </w:t>
      </w:r>
      <w:r w:rsidR="00C7238B">
        <w:rPr>
          <w:rFonts w:ascii="Arial" w:hAnsi="Arial" w:cs="Arial"/>
          <w:sz w:val="24"/>
          <w:szCs w:val="24"/>
        </w:rPr>
        <w:t>– for</w:t>
      </w:r>
      <w:r w:rsidRPr="007111D4">
        <w:rPr>
          <w:rFonts w:ascii="Arial" w:hAnsi="Arial" w:cs="Arial"/>
          <w:sz w:val="24"/>
          <w:szCs w:val="24"/>
        </w:rPr>
        <w:t xml:space="preserve"> claim</w:t>
      </w:r>
      <w:r w:rsidR="00C7238B">
        <w:rPr>
          <w:rFonts w:ascii="Arial" w:hAnsi="Arial" w:cs="Arial"/>
          <w:sz w:val="24"/>
          <w:szCs w:val="24"/>
        </w:rPr>
        <w:t>s</w:t>
      </w:r>
      <w:r w:rsidRPr="007111D4">
        <w:rPr>
          <w:rFonts w:ascii="Arial" w:hAnsi="Arial" w:cs="Arial"/>
          <w:sz w:val="24"/>
          <w:szCs w:val="24"/>
        </w:rPr>
        <w:t xml:space="preserve"> filed within </w:t>
      </w:r>
      <w:r w:rsidRPr="00487032">
        <w:rPr>
          <w:rFonts w:ascii="Arial" w:hAnsi="Arial" w:cs="Arial"/>
          <w:sz w:val="24"/>
          <w:szCs w:val="24"/>
          <w:u w:val="single"/>
        </w:rPr>
        <w:t xml:space="preserve">three </w:t>
      </w:r>
      <w:r w:rsidR="00C7238B" w:rsidRPr="00487032">
        <w:rPr>
          <w:rFonts w:ascii="Arial" w:hAnsi="Arial" w:cs="Arial"/>
          <w:sz w:val="24"/>
          <w:szCs w:val="24"/>
          <w:u w:val="single"/>
        </w:rPr>
        <w:t xml:space="preserve"> </w:t>
      </w:r>
      <w:r w:rsidRPr="00487032">
        <w:rPr>
          <w:rFonts w:ascii="Arial" w:hAnsi="Arial" w:cs="Arial"/>
          <w:sz w:val="24"/>
          <w:szCs w:val="24"/>
          <w:u w:val="single"/>
        </w:rPr>
        <w:t>years</w:t>
      </w:r>
      <w:r w:rsidRPr="007111D4">
        <w:rPr>
          <w:rFonts w:ascii="Arial" w:hAnsi="Arial" w:cs="Arial"/>
          <w:sz w:val="24"/>
          <w:szCs w:val="24"/>
        </w:rPr>
        <w:t xml:space="preserve"> of the return</w:t>
      </w:r>
      <w:r w:rsidR="00C7238B">
        <w:rPr>
          <w:rFonts w:ascii="Arial" w:hAnsi="Arial" w:cs="Arial"/>
          <w:sz w:val="24"/>
          <w:szCs w:val="24"/>
        </w:rPr>
        <w:t>’s filing date</w:t>
      </w:r>
      <w:r w:rsidRPr="007111D4">
        <w:rPr>
          <w:rFonts w:ascii="Arial" w:hAnsi="Arial" w:cs="Arial"/>
          <w:sz w:val="24"/>
          <w:szCs w:val="24"/>
        </w:rPr>
        <w:t>, the allowable claim</w:t>
      </w:r>
      <w:r w:rsidR="00C80D73">
        <w:rPr>
          <w:rFonts w:ascii="Arial" w:hAnsi="Arial" w:cs="Arial"/>
          <w:sz w:val="24"/>
          <w:szCs w:val="24"/>
        </w:rPr>
        <w:t>s</w:t>
      </w:r>
      <w:r w:rsidRPr="007111D4">
        <w:rPr>
          <w:rFonts w:ascii="Arial" w:hAnsi="Arial" w:cs="Arial"/>
          <w:sz w:val="24"/>
          <w:szCs w:val="24"/>
        </w:rPr>
        <w:t xml:space="preserve"> include</w:t>
      </w:r>
      <w:r w:rsidR="00C80D73">
        <w:rPr>
          <w:rFonts w:ascii="Arial" w:hAnsi="Arial" w:cs="Arial"/>
          <w:sz w:val="24"/>
          <w:szCs w:val="24"/>
        </w:rPr>
        <w:t>:</w:t>
      </w:r>
    </w:p>
    <w:p w:rsidR="00C80D73" w:rsidRDefault="00C80D73" w:rsidP="007F7AF5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Taxes paid </w:t>
      </w:r>
      <w:r w:rsidR="007111D4" w:rsidRPr="007111D4">
        <w:rPr>
          <w:rFonts w:ascii="Arial" w:hAnsi="Arial" w:cs="Arial"/>
          <w:sz w:val="24"/>
          <w:szCs w:val="24"/>
        </w:rPr>
        <w:t>within the three years prior to the claim, plus</w:t>
      </w:r>
    </w:p>
    <w:p w:rsidR="007111D4" w:rsidRDefault="00C80D73" w:rsidP="007F7AF5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Taxes paid </w:t>
      </w:r>
      <w:r w:rsidR="007111D4" w:rsidRPr="007111D4">
        <w:rPr>
          <w:rFonts w:ascii="Arial" w:hAnsi="Arial" w:cs="Arial"/>
          <w:sz w:val="24"/>
          <w:szCs w:val="24"/>
        </w:rPr>
        <w:t xml:space="preserve">during </w:t>
      </w:r>
      <w:r>
        <w:rPr>
          <w:rFonts w:ascii="Arial" w:hAnsi="Arial" w:cs="Arial"/>
          <w:sz w:val="24"/>
          <w:szCs w:val="24"/>
        </w:rPr>
        <w:t xml:space="preserve">granted </w:t>
      </w:r>
      <w:r w:rsidR="007111D4" w:rsidRPr="007111D4">
        <w:rPr>
          <w:rFonts w:ascii="Arial" w:hAnsi="Arial" w:cs="Arial"/>
          <w:sz w:val="24"/>
          <w:szCs w:val="24"/>
        </w:rPr>
        <w:t xml:space="preserve">extension </w:t>
      </w:r>
      <w:r>
        <w:rPr>
          <w:rFonts w:ascii="Arial" w:hAnsi="Arial" w:cs="Arial"/>
          <w:sz w:val="24"/>
          <w:szCs w:val="24"/>
        </w:rPr>
        <w:t xml:space="preserve">periods </w:t>
      </w:r>
      <w:r w:rsidR="007111D4" w:rsidRPr="007111D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for timely filed</w:t>
      </w:r>
      <w:r w:rsidR="007111D4" w:rsidRPr="007111D4">
        <w:rPr>
          <w:rFonts w:ascii="Arial" w:hAnsi="Arial" w:cs="Arial"/>
          <w:sz w:val="24"/>
          <w:szCs w:val="24"/>
        </w:rPr>
        <w:t xml:space="preserve"> return</w:t>
      </w:r>
      <w:r>
        <w:rPr>
          <w:rFonts w:ascii="Arial" w:hAnsi="Arial" w:cs="Arial"/>
          <w:sz w:val="24"/>
          <w:szCs w:val="24"/>
        </w:rPr>
        <w:t>s</w:t>
      </w:r>
      <w:r w:rsidR="007111D4" w:rsidRPr="007111D4">
        <w:rPr>
          <w:rFonts w:ascii="Arial" w:hAnsi="Arial" w:cs="Arial"/>
          <w:sz w:val="24"/>
          <w:szCs w:val="24"/>
        </w:rPr>
        <w:t>)</w:t>
      </w:r>
    </w:p>
    <w:p w:rsidR="007111D4" w:rsidRPr="007111D4" w:rsidRDefault="004132BB" w:rsidP="007F7A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 w:rsidR="007111D4" w:rsidRPr="007111D4">
        <w:rPr>
          <w:rFonts w:ascii="Arial" w:hAnsi="Arial" w:cs="Arial"/>
          <w:sz w:val="24"/>
          <w:szCs w:val="24"/>
        </w:rPr>
        <w:t xml:space="preserve"> claim</w:t>
      </w:r>
      <w:r>
        <w:rPr>
          <w:rFonts w:ascii="Arial" w:hAnsi="Arial" w:cs="Arial"/>
          <w:sz w:val="24"/>
          <w:szCs w:val="24"/>
        </w:rPr>
        <w:t>s</w:t>
      </w:r>
      <w:r w:rsidR="007111D4" w:rsidRPr="007111D4">
        <w:rPr>
          <w:rFonts w:ascii="Arial" w:hAnsi="Arial" w:cs="Arial"/>
          <w:sz w:val="24"/>
          <w:szCs w:val="24"/>
        </w:rPr>
        <w:t xml:space="preserve"> not made within </w:t>
      </w:r>
      <w:r w:rsidRPr="00FB6A65">
        <w:rPr>
          <w:rFonts w:ascii="Arial" w:hAnsi="Arial" w:cs="Arial"/>
          <w:sz w:val="24"/>
          <w:szCs w:val="24"/>
          <w:u w:val="single"/>
        </w:rPr>
        <w:t xml:space="preserve">three </w:t>
      </w:r>
      <w:r w:rsidR="007111D4" w:rsidRPr="00FB6A65">
        <w:rPr>
          <w:rFonts w:ascii="Arial" w:hAnsi="Arial" w:cs="Arial"/>
          <w:sz w:val="24"/>
          <w:szCs w:val="24"/>
          <w:u w:val="single"/>
        </w:rPr>
        <w:t>years</w:t>
      </w:r>
      <w:r w:rsidR="007111D4" w:rsidRPr="007111D4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the </w:t>
      </w:r>
      <w:r w:rsidR="007111D4" w:rsidRPr="007111D4">
        <w:rPr>
          <w:rFonts w:ascii="Arial" w:hAnsi="Arial" w:cs="Arial"/>
          <w:sz w:val="24"/>
          <w:szCs w:val="24"/>
        </w:rPr>
        <w:t>return</w:t>
      </w:r>
      <w:r>
        <w:rPr>
          <w:rFonts w:ascii="Arial" w:hAnsi="Arial" w:cs="Arial"/>
          <w:sz w:val="24"/>
          <w:szCs w:val="24"/>
        </w:rPr>
        <w:t>’s</w:t>
      </w:r>
      <w:r w:rsidR="007111D4" w:rsidRPr="007111D4">
        <w:rPr>
          <w:rFonts w:ascii="Arial" w:hAnsi="Arial" w:cs="Arial"/>
          <w:sz w:val="24"/>
          <w:szCs w:val="24"/>
        </w:rPr>
        <w:t xml:space="preserve"> filing</w:t>
      </w:r>
      <w:r>
        <w:rPr>
          <w:rFonts w:ascii="Arial" w:hAnsi="Arial" w:cs="Arial"/>
          <w:sz w:val="24"/>
          <w:szCs w:val="24"/>
        </w:rPr>
        <w:t xml:space="preserve"> date</w:t>
      </w:r>
      <w:r w:rsidR="007111D4" w:rsidRPr="007111D4">
        <w:rPr>
          <w:rFonts w:ascii="Arial" w:hAnsi="Arial" w:cs="Arial"/>
          <w:sz w:val="24"/>
          <w:szCs w:val="24"/>
        </w:rPr>
        <w:t xml:space="preserve">, the allowable claim </w:t>
      </w:r>
      <w:r>
        <w:rPr>
          <w:rFonts w:ascii="Arial" w:hAnsi="Arial" w:cs="Arial"/>
          <w:sz w:val="24"/>
          <w:szCs w:val="24"/>
        </w:rPr>
        <w:t>is</w:t>
      </w:r>
      <w:r w:rsidR="007111D4" w:rsidRPr="007111D4">
        <w:rPr>
          <w:rFonts w:ascii="Arial" w:hAnsi="Arial" w:cs="Arial"/>
          <w:sz w:val="24"/>
          <w:szCs w:val="24"/>
        </w:rPr>
        <w:t xml:space="preserve"> limited to the </w:t>
      </w:r>
      <w:r>
        <w:rPr>
          <w:rFonts w:ascii="Arial" w:hAnsi="Arial" w:cs="Arial"/>
          <w:sz w:val="24"/>
          <w:szCs w:val="24"/>
        </w:rPr>
        <w:t xml:space="preserve">taxes paid during the </w:t>
      </w:r>
      <w:r w:rsidRPr="00FB6A65">
        <w:rPr>
          <w:rFonts w:ascii="Arial" w:hAnsi="Arial" w:cs="Arial"/>
          <w:sz w:val="24"/>
          <w:szCs w:val="24"/>
          <w:u w:val="single"/>
        </w:rPr>
        <w:t xml:space="preserve">two </w:t>
      </w:r>
      <w:r w:rsidR="007111D4" w:rsidRPr="00FB6A65">
        <w:rPr>
          <w:rFonts w:ascii="Arial" w:hAnsi="Arial" w:cs="Arial"/>
          <w:sz w:val="24"/>
          <w:szCs w:val="24"/>
          <w:u w:val="single"/>
        </w:rPr>
        <w:t>years</w:t>
      </w:r>
      <w:r w:rsidR="007111D4" w:rsidRPr="007111D4">
        <w:rPr>
          <w:rFonts w:ascii="Arial" w:hAnsi="Arial" w:cs="Arial"/>
          <w:sz w:val="24"/>
          <w:szCs w:val="24"/>
        </w:rPr>
        <w:t xml:space="preserve"> preceding the </w:t>
      </w:r>
      <w:r w:rsidR="00121E9A">
        <w:rPr>
          <w:rFonts w:ascii="Arial" w:hAnsi="Arial" w:cs="Arial"/>
          <w:sz w:val="24"/>
          <w:szCs w:val="24"/>
        </w:rPr>
        <w:t xml:space="preserve">filing date of the </w:t>
      </w:r>
      <w:r w:rsidR="007111D4" w:rsidRPr="007111D4">
        <w:rPr>
          <w:rFonts w:ascii="Arial" w:hAnsi="Arial" w:cs="Arial"/>
          <w:sz w:val="24"/>
          <w:szCs w:val="24"/>
        </w:rPr>
        <w:t xml:space="preserve">claim </w:t>
      </w:r>
      <w:r>
        <w:rPr>
          <w:rFonts w:ascii="Arial" w:hAnsi="Arial" w:cs="Arial"/>
          <w:sz w:val="24"/>
          <w:szCs w:val="24"/>
        </w:rPr>
        <w:t xml:space="preserve">– </w:t>
      </w:r>
      <w:r w:rsidR="007111D4" w:rsidRPr="007111D4">
        <w:rPr>
          <w:rFonts w:ascii="Arial" w:hAnsi="Arial" w:cs="Arial"/>
          <w:sz w:val="24"/>
          <w:szCs w:val="24"/>
        </w:rPr>
        <w:t>IRC § 6511(b)(2)(B)</w:t>
      </w:r>
    </w:p>
    <w:p w:rsidR="007111D4" w:rsidRPr="007111D4" w:rsidRDefault="007111D4" w:rsidP="007F7AF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Effect of Exten</w:t>
      </w:r>
      <w:r w:rsidR="009D64FF">
        <w:rPr>
          <w:rFonts w:ascii="Arial" w:hAnsi="Arial" w:cs="Arial"/>
          <w:sz w:val="24"/>
          <w:szCs w:val="24"/>
        </w:rPr>
        <w:t>ding</w:t>
      </w:r>
      <w:r w:rsidRPr="007111D4">
        <w:rPr>
          <w:rFonts w:ascii="Arial" w:hAnsi="Arial" w:cs="Arial"/>
          <w:sz w:val="24"/>
          <w:szCs w:val="24"/>
        </w:rPr>
        <w:t xml:space="preserve"> </w:t>
      </w:r>
      <w:r w:rsidR="001855E8">
        <w:rPr>
          <w:rFonts w:ascii="Arial" w:hAnsi="Arial" w:cs="Arial"/>
          <w:sz w:val="24"/>
          <w:szCs w:val="24"/>
        </w:rPr>
        <w:t xml:space="preserve">Period of </w:t>
      </w:r>
      <w:r w:rsidRPr="007111D4">
        <w:rPr>
          <w:rFonts w:ascii="Arial" w:hAnsi="Arial" w:cs="Arial"/>
          <w:sz w:val="24"/>
          <w:szCs w:val="24"/>
        </w:rPr>
        <w:t>Assessment on Refund Claim</w:t>
      </w:r>
      <w:r w:rsidR="009D64FF">
        <w:rPr>
          <w:rFonts w:ascii="Arial" w:hAnsi="Arial" w:cs="Arial"/>
          <w:sz w:val="24"/>
          <w:szCs w:val="24"/>
        </w:rPr>
        <w:t>s</w:t>
      </w:r>
      <w:r w:rsidR="003569E7">
        <w:rPr>
          <w:rFonts w:ascii="Arial" w:hAnsi="Arial" w:cs="Arial"/>
          <w:sz w:val="24"/>
          <w:szCs w:val="24"/>
        </w:rPr>
        <w:t xml:space="preserve"> – IRC § 6511(c</w:t>
      </w:r>
      <w:r w:rsidR="003569E7" w:rsidRPr="007111D4">
        <w:rPr>
          <w:rFonts w:ascii="Arial" w:hAnsi="Arial" w:cs="Arial"/>
          <w:sz w:val="24"/>
          <w:szCs w:val="24"/>
        </w:rPr>
        <w:t>)</w:t>
      </w:r>
    </w:p>
    <w:p w:rsidR="001855E8" w:rsidRDefault="001855E8" w:rsidP="007F7A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to file claim –</w:t>
      </w:r>
      <w:r w:rsidR="007111D4" w:rsidRPr="007111D4">
        <w:rPr>
          <w:rFonts w:ascii="Arial" w:hAnsi="Arial" w:cs="Arial"/>
          <w:sz w:val="24"/>
          <w:szCs w:val="24"/>
        </w:rPr>
        <w:t xml:space="preserve"> claim </w:t>
      </w:r>
      <w:r w:rsidR="00065D12">
        <w:rPr>
          <w:rFonts w:ascii="Arial" w:hAnsi="Arial" w:cs="Arial"/>
          <w:sz w:val="24"/>
          <w:szCs w:val="24"/>
        </w:rPr>
        <w:t xml:space="preserve">period </w:t>
      </w:r>
      <w:r>
        <w:rPr>
          <w:rFonts w:ascii="Arial" w:hAnsi="Arial" w:cs="Arial"/>
          <w:sz w:val="24"/>
          <w:szCs w:val="24"/>
        </w:rPr>
        <w:t>extends</w:t>
      </w:r>
      <w:r w:rsidR="007111D4" w:rsidRPr="007111D4">
        <w:rPr>
          <w:rFonts w:ascii="Arial" w:hAnsi="Arial" w:cs="Arial"/>
          <w:sz w:val="24"/>
          <w:szCs w:val="24"/>
        </w:rPr>
        <w:t xml:space="preserve"> to </w:t>
      </w:r>
      <w:r w:rsidR="009D64FF" w:rsidRPr="00FB6A65">
        <w:rPr>
          <w:rFonts w:ascii="Arial" w:hAnsi="Arial" w:cs="Arial"/>
          <w:sz w:val="24"/>
          <w:szCs w:val="24"/>
          <w:u w:val="single"/>
        </w:rPr>
        <w:t xml:space="preserve">six </w:t>
      </w:r>
      <w:r w:rsidR="007111D4" w:rsidRPr="00FB6A65">
        <w:rPr>
          <w:rFonts w:ascii="Arial" w:hAnsi="Arial" w:cs="Arial"/>
          <w:sz w:val="24"/>
          <w:szCs w:val="24"/>
          <w:u w:val="single"/>
        </w:rPr>
        <w:t>months</w:t>
      </w:r>
      <w:r w:rsidR="007111D4" w:rsidRPr="007111D4">
        <w:rPr>
          <w:rFonts w:ascii="Arial" w:hAnsi="Arial" w:cs="Arial"/>
          <w:sz w:val="24"/>
          <w:szCs w:val="24"/>
        </w:rPr>
        <w:t xml:space="preserve"> after the </w:t>
      </w:r>
      <w:r w:rsidR="009D64FF">
        <w:rPr>
          <w:rFonts w:ascii="Arial" w:hAnsi="Arial" w:cs="Arial"/>
          <w:sz w:val="24"/>
          <w:szCs w:val="24"/>
        </w:rPr>
        <w:t>new assessment period</w:t>
      </w:r>
      <w:r w:rsidR="007111D4" w:rsidRPr="007111D4">
        <w:rPr>
          <w:rFonts w:ascii="Arial" w:hAnsi="Arial" w:cs="Arial"/>
          <w:sz w:val="24"/>
          <w:szCs w:val="24"/>
        </w:rPr>
        <w:t xml:space="preserve"> ends</w:t>
      </w:r>
    </w:p>
    <w:p w:rsidR="004B5850" w:rsidRDefault="001855E8" w:rsidP="007F7A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Limits on c</w:t>
      </w:r>
      <w:r w:rsidRPr="001855E8">
        <w:rPr>
          <w:rFonts w:ascii="Arial" w:hAnsi="Arial" w:cs="Arial"/>
          <w:sz w:val="24"/>
          <w:szCs w:val="24"/>
        </w:rPr>
        <w:t>laim amount</w:t>
      </w:r>
      <w:r>
        <w:rPr>
          <w:rFonts w:ascii="Arial" w:hAnsi="Arial" w:cs="Arial"/>
          <w:sz w:val="24"/>
          <w:szCs w:val="24"/>
        </w:rPr>
        <w:t xml:space="preserve">s – </w:t>
      </w:r>
      <w:r w:rsidRPr="001855E8">
        <w:rPr>
          <w:rFonts w:ascii="Arial" w:hAnsi="Arial" w:cs="Arial"/>
          <w:sz w:val="24"/>
          <w:szCs w:val="24"/>
        </w:rPr>
        <w:t xml:space="preserve"> limited to </w:t>
      </w:r>
      <w:r w:rsidR="004B5850">
        <w:rPr>
          <w:rFonts w:ascii="Arial" w:hAnsi="Arial" w:cs="Arial"/>
          <w:sz w:val="24"/>
          <w:szCs w:val="24"/>
        </w:rPr>
        <w:t xml:space="preserve">the </w:t>
      </w:r>
      <w:r w:rsidRPr="001855E8">
        <w:rPr>
          <w:rFonts w:ascii="Arial" w:hAnsi="Arial" w:cs="Arial"/>
          <w:sz w:val="24"/>
          <w:szCs w:val="24"/>
        </w:rPr>
        <w:t xml:space="preserve">tax paid between </w:t>
      </w:r>
      <w:r w:rsidR="004B5850">
        <w:rPr>
          <w:rFonts w:ascii="Arial" w:hAnsi="Arial" w:cs="Arial"/>
          <w:sz w:val="24"/>
          <w:szCs w:val="24"/>
        </w:rPr>
        <w:t xml:space="preserve">the execution </w:t>
      </w:r>
      <w:r w:rsidRPr="001855E8">
        <w:rPr>
          <w:rFonts w:ascii="Arial" w:hAnsi="Arial" w:cs="Arial"/>
          <w:sz w:val="24"/>
          <w:szCs w:val="24"/>
        </w:rPr>
        <w:t xml:space="preserve">date of </w:t>
      </w:r>
      <w:r w:rsidR="004B5850">
        <w:rPr>
          <w:rFonts w:ascii="Arial" w:hAnsi="Arial" w:cs="Arial"/>
          <w:sz w:val="24"/>
          <w:szCs w:val="24"/>
        </w:rPr>
        <w:t xml:space="preserve">the extension </w:t>
      </w:r>
      <w:r w:rsidRPr="001855E8">
        <w:rPr>
          <w:rFonts w:ascii="Arial" w:hAnsi="Arial" w:cs="Arial"/>
          <w:sz w:val="24"/>
          <w:szCs w:val="24"/>
        </w:rPr>
        <w:t xml:space="preserve">agreement and date of the claim plus </w:t>
      </w:r>
      <w:r w:rsidR="004B5850">
        <w:rPr>
          <w:rFonts w:ascii="Arial" w:hAnsi="Arial" w:cs="Arial"/>
          <w:sz w:val="24"/>
          <w:szCs w:val="24"/>
        </w:rPr>
        <w:t xml:space="preserve">the </w:t>
      </w:r>
      <w:r w:rsidRPr="001855E8">
        <w:rPr>
          <w:rFonts w:ascii="Arial" w:hAnsi="Arial" w:cs="Arial"/>
          <w:sz w:val="24"/>
          <w:szCs w:val="24"/>
        </w:rPr>
        <w:t xml:space="preserve">amount paid within limits of </w:t>
      </w:r>
      <w:r w:rsidR="001115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IRC </w:t>
      </w:r>
      <w:r w:rsidRPr="001855E8">
        <w:rPr>
          <w:rFonts w:ascii="Arial" w:hAnsi="Arial" w:cs="Arial"/>
          <w:sz w:val="24"/>
          <w:szCs w:val="24"/>
        </w:rPr>
        <w:t>§ 6511(b)(2)</w:t>
      </w:r>
    </w:p>
    <w:p w:rsidR="007111D4" w:rsidRPr="004B5850" w:rsidRDefault="004B5850" w:rsidP="007F7AF5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4B5850">
        <w:rPr>
          <w:rFonts w:ascii="Arial" w:hAnsi="Arial" w:cs="Arial"/>
          <w:sz w:val="24"/>
          <w:szCs w:val="24"/>
        </w:rPr>
        <w:t xml:space="preserve">Claims filed or allowed prior to the agreement or six months after the </w:t>
      </w:r>
      <w:r>
        <w:rPr>
          <w:rFonts w:ascii="Arial" w:hAnsi="Arial" w:cs="Arial"/>
          <w:sz w:val="24"/>
          <w:szCs w:val="24"/>
        </w:rPr>
        <w:t xml:space="preserve">extended </w:t>
      </w:r>
      <w:r w:rsidRPr="004B5850">
        <w:rPr>
          <w:rFonts w:ascii="Arial" w:hAnsi="Arial" w:cs="Arial"/>
          <w:sz w:val="24"/>
          <w:szCs w:val="24"/>
        </w:rPr>
        <w:t>assessment period expires</w:t>
      </w:r>
      <w:r>
        <w:rPr>
          <w:rFonts w:ascii="Arial" w:hAnsi="Arial" w:cs="Arial"/>
          <w:sz w:val="24"/>
          <w:szCs w:val="24"/>
        </w:rPr>
        <w:t xml:space="preserve"> are not subject to the limitation</w:t>
      </w:r>
    </w:p>
    <w:p w:rsidR="007111D4" w:rsidRPr="00DA708A" w:rsidRDefault="007111D4" w:rsidP="00757A90">
      <w:pPr>
        <w:pStyle w:val="TaxBodyText"/>
        <w:spacing w:before="240"/>
        <w:rPr>
          <w:rFonts w:ascii="Arial" w:hAnsi="Arial" w:cs="Arial"/>
          <w:b/>
          <w:u w:val="single"/>
        </w:rPr>
      </w:pPr>
      <w:r w:rsidRPr="00DA708A">
        <w:rPr>
          <w:rFonts w:ascii="Arial" w:hAnsi="Arial" w:cs="Arial"/>
          <w:b/>
          <w:u w:val="single"/>
        </w:rPr>
        <w:t>Section 6532</w:t>
      </w:r>
      <w:proofErr w:type="gramStart"/>
      <w:r w:rsidRPr="00DA708A">
        <w:rPr>
          <w:rFonts w:ascii="Arial" w:hAnsi="Arial" w:cs="Arial"/>
          <w:b/>
          <w:u w:val="single"/>
        </w:rPr>
        <w:t xml:space="preserve">. </w:t>
      </w:r>
      <w:proofErr w:type="gramEnd"/>
      <w:r w:rsidRPr="00DA708A">
        <w:rPr>
          <w:rFonts w:ascii="Arial" w:hAnsi="Arial" w:cs="Arial"/>
          <w:b/>
          <w:u w:val="single"/>
        </w:rPr>
        <w:t>Periods of Limitations on Suits</w:t>
      </w:r>
    </w:p>
    <w:p w:rsidR="007111D4" w:rsidRDefault="007111D4" w:rsidP="005A4225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Refund Suits Filed by Taxpayers</w:t>
      </w:r>
    </w:p>
    <w:p w:rsidR="007111D4" w:rsidRDefault="007111D4" w:rsidP="005A4225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A4225">
        <w:rPr>
          <w:rFonts w:ascii="Arial" w:hAnsi="Arial" w:cs="Arial"/>
          <w:sz w:val="24"/>
          <w:szCs w:val="24"/>
        </w:rPr>
        <w:t xml:space="preserve">General Rule – The period for a taxpayer to file suit begins </w:t>
      </w:r>
      <w:r w:rsidR="00EA3911" w:rsidRPr="0011152B">
        <w:rPr>
          <w:rFonts w:ascii="Arial" w:hAnsi="Arial" w:cs="Arial"/>
          <w:sz w:val="24"/>
          <w:szCs w:val="24"/>
          <w:u w:val="single"/>
        </w:rPr>
        <w:t>six</w:t>
      </w:r>
      <w:r w:rsidRPr="0011152B">
        <w:rPr>
          <w:rFonts w:ascii="Arial" w:hAnsi="Arial" w:cs="Arial"/>
          <w:sz w:val="24"/>
          <w:szCs w:val="24"/>
          <w:u w:val="single"/>
        </w:rPr>
        <w:t xml:space="preserve"> months</w:t>
      </w:r>
      <w:r w:rsidRPr="005A4225">
        <w:rPr>
          <w:rFonts w:ascii="Arial" w:hAnsi="Arial" w:cs="Arial"/>
          <w:sz w:val="24"/>
          <w:szCs w:val="24"/>
        </w:rPr>
        <w:t xml:space="preserve"> after the date of filing the claim for</w:t>
      </w:r>
      <w:r w:rsidR="006E15AB" w:rsidRPr="005A4225">
        <w:rPr>
          <w:rFonts w:ascii="Arial" w:hAnsi="Arial" w:cs="Arial"/>
          <w:sz w:val="24"/>
          <w:szCs w:val="24"/>
        </w:rPr>
        <w:t xml:space="preserve"> refund with the IRS, and ends </w:t>
      </w:r>
      <w:r w:rsidR="006E15AB" w:rsidRPr="0011152B">
        <w:rPr>
          <w:rFonts w:ascii="Arial" w:hAnsi="Arial" w:cs="Arial"/>
          <w:sz w:val="24"/>
          <w:szCs w:val="24"/>
          <w:u w:val="single"/>
        </w:rPr>
        <w:t>two</w:t>
      </w:r>
      <w:r w:rsidRPr="0011152B">
        <w:rPr>
          <w:rFonts w:ascii="Arial" w:hAnsi="Arial" w:cs="Arial"/>
          <w:sz w:val="24"/>
          <w:szCs w:val="24"/>
          <w:u w:val="single"/>
        </w:rPr>
        <w:t xml:space="preserve"> years</w:t>
      </w:r>
      <w:r w:rsidRPr="005A4225">
        <w:rPr>
          <w:rFonts w:ascii="Arial" w:hAnsi="Arial" w:cs="Arial"/>
          <w:sz w:val="24"/>
          <w:szCs w:val="24"/>
        </w:rPr>
        <w:t xml:space="preserve"> after the IRS mails a notice of disallowance to the taxpayer</w:t>
      </w:r>
      <w:r w:rsidR="006E15AB" w:rsidRPr="005A4225">
        <w:rPr>
          <w:rFonts w:ascii="Arial" w:hAnsi="Arial" w:cs="Arial"/>
          <w:sz w:val="24"/>
          <w:szCs w:val="24"/>
        </w:rPr>
        <w:t xml:space="preserve"> – IRC § 6532(a)(1)</w:t>
      </w:r>
    </w:p>
    <w:p w:rsidR="007111D4" w:rsidRDefault="007111D4" w:rsidP="005A4225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Extensions and Waivers</w:t>
      </w:r>
    </w:p>
    <w:p w:rsidR="005A4225" w:rsidRDefault="005A4225" w:rsidP="005A4225">
      <w:pPr>
        <w:pStyle w:val="ListParagraph"/>
        <w:numPr>
          <w:ilvl w:val="2"/>
          <w:numId w:val="1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 xml:space="preserve">The taxpayer and the IRS can </w:t>
      </w:r>
      <w:r>
        <w:rPr>
          <w:rFonts w:ascii="Arial" w:hAnsi="Arial" w:cs="Arial"/>
          <w:sz w:val="24"/>
          <w:szCs w:val="24"/>
        </w:rPr>
        <w:t>agree in writing to extend the two</w:t>
      </w:r>
      <w:r w:rsidRPr="007111D4">
        <w:rPr>
          <w:rFonts w:ascii="Arial" w:hAnsi="Arial" w:cs="Arial"/>
          <w:sz w:val="24"/>
          <w:szCs w:val="24"/>
        </w:rPr>
        <w:t xml:space="preserve">-year period in </w:t>
      </w:r>
      <w:r w:rsidR="0011152B">
        <w:rPr>
          <w:rFonts w:ascii="Arial" w:hAnsi="Arial" w:cs="Arial"/>
          <w:sz w:val="24"/>
          <w:szCs w:val="24"/>
        </w:rPr>
        <w:br/>
      </w:r>
      <w:r w:rsidRPr="007111D4">
        <w:rPr>
          <w:rFonts w:ascii="Arial" w:hAnsi="Arial" w:cs="Arial"/>
          <w:sz w:val="24"/>
          <w:szCs w:val="24"/>
        </w:rPr>
        <w:t>IRC</w:t>
      </w:r>
      <w:r>
        <w:rPr>
          <w:rFonts w:ascii="Arial" w:hAnsi="Arial" w:cs="Arial"/>
          <w:sz w:val="24"/>
          <w:szCs w:val="24"/>
        </w:rPr>
        <w:t xml:space="preserve"> § 6532(a)(1) – IRC § 6532(a)(2)</w:t>
      </w:r>
    </w:p>
    <w:p w:rsidR="005A4225" w:rsidRDefault="005A4225" w:rsidP="005A4225">
      <w:pPr>
        <w:pStyle w:val="ListParagraph"/>
        <w:numPr>
          <w:ilvl w:val="2"/>
          <w:numId w:val="1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The taxpayer can waive the requirement of a notice of disallowance, in which ca</w:t>
      </w:r>
      <w:r>
        <w:rPr>
          <w:rFonts w:ascii="Arial" w:hAnsi="Arial" w:cs="Arial"/>
          <w:sz w:val="24"/>
          <w:szCs w:val="24"/>
        </w:rPr>
        <w:t>se, the two-</w:t>
      </w:r>
      <w:r w:rsidRPr="007111D4">
        <w:rPr>
          <w:rFonts w:ascii="Arial" w:hAnsi="Arial" w:cs="Arial"/>
          <w:sz w:val="24"/>
          <w:szCs w:val="24"/>
        </w:rPr>
        <w:t>year period begins when the waiver is filed wit</w:t>
      </w:r>
      <w:r>
        <w:rPr>
          <w:rFonts w:ascii="Arial" w:hAnsi="Arial" w:cs="Arial"/>
          <w:sz w:val="24"/>
          <w:szCs w:val="24"/>
        </w:rPr>
        <w:t xml:space="preserve">h the Service – </w:t>
      </w:r>
      <w:r w:rsidR="001115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IRC § 6532(a)(3)</w:t>
      </w:r>
    </w:p>
    <w:p w:rsidR="005A4225" w:rsidRDefault="005A4225" w:rsidP="005A4225">
      <w:pPr>
        <w:pStyle w:val="ListParagraph"/>
        <w:numPr>
          <w:ilvl w:val="2"/>
          <w:numId w:val="1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Any subsequent consideration, reconsideration, or action taken by the IRS after mailing the notice of disallowance doe</w:t>
      </w:r>
      <w:r>
        <w:rPr>
          <w:rFonts w:ascii="Arial" w:hAnsi="Arial" w:cs="Arial"/>
          <w:sz w:val="24"/>
          <w:szCs w:val="24"/>
        </w:rPr>
        <w:t xml:space="preserve">s not extend the two-year period – </w:t>
      </w:r>
      <w:r w:rsidR="0011152B">
        <w:rPr>
          <w:rFonts w:ascii="Arial" w:hAnsi="Arial" w:cs="Arial"/>
          <w:sz w:val="24"/>
          <w:szCs w:val="24"/>
        </w:rPr>
        <w:br/>
      </w:r>
      <w:r w:rsidRPr="007111D4">
        <w:rPr>
          <w:rFonts w:ascii="Arial" w:hAnsi="Arial" w:cs="Arial"/>
          <w:sz w:val="24"/>
          <w:szCs w:val="24"/>
        </w:rPr>
        <w:t>IRC § 6532(a)(4)</w:t>
      </w:r>
    </w:p>
    <w:p w:rsidR="007111D4" w:rsidRDefault="00E877B5" w:rsidP="005A4225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111D4" w:rsidRPr="007111D4">
        <w:rPr>
          <w:rFonts w:ascii="Arial" w:hAnsi="Arial" w:cs="Arial"/>
          <w:sz w:val="24"/>
          <w:szCs w:val="24"/>
        </w:rPr>
        <w:t>f the IRS Takes</w:t>
      </w:r>
      <w:r>
        <w:rPr>
          <w:rFonts w:ascii="Arial" w:hAnsi="Arial" w:cs="Arial"/>
          <w:sz w:val="24"/>
          <w:szCs w:val="24"/>
        </w:rPr>
        <w:t xml:space="preserve"> No Action on the Refund Claim</w:t>
      </w:r>
    </w:p>
    <w:p w:rsidR="00E877B5" w:rsidRDefault="00E877B5" w:rsidP="000E0E8B">
      <w:pPr>
        <w:pStyle w:val="ListParagraph"/>
        <w:numPr>
          <w:ilvl w:val="2"/>
          <w:numId w:val="1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the two</w:t>
      </w:r>
      <w:r w:rsidR="00661754">
        <w:rPr>
          <w:rFonts w:ascii="Arial" w:hAnsi="Arial" w:cs="Arial"/>
          <w:sz w:val="24"/>
          <w:szCs w:val="24"/>
        </w:rPr>
        <w:t>-</w:t>
      </w:r>
      <w:r w:rsidR="00EA3911" w:rsidRPr="007111D4">
        <w:rPr>
          <w:rFonts w:ascii="Arial" w:hAnsi="Arial" w:cs="Arial"/>
          <w:sz w:val="24"/>
          <w:szCs w:val="24"/>
        </w:rPr>
        <w:t xml:space="preserve">year period is tied to the mailing of the notice of disallowance, the IRS could </w:t>
      </w:r>
      <w:r>
        <w:rPr>
          <w:rFonts w:ascii="Arial" w:hAnsi="Arial" w:cs="Arial"/>
          <w:sz w:val="24"/>
          <w:szCs w:val="24"/>
        </w:rPr>
        <w:t xml:space="preserve">decide to </w:t>
      </w:r>
      <w:r w:rsidR="00EA3911" w:rsidRPr="007111D4">
        <w:rPr>
          <w:rFonts w:ascii="Arial" w:hAnsi="Arial" w:cs="Arial"/>
          <w:sz w:val="24"/>
          <w:szCs w:val="24"/>
        </w:rPr>
        <w:t>take no action on a refund claim</w:t>
      </w:r>
    </w:p>
    <w:p w:rsidR="00E877B5" w:rsidRDefault="00EA3911" w:rsidP="000E0E8B">
      <w:pPr>
        <w:pStyle w:val="ListParagraph"/>
        <w:numPr>
          <w:ilvl w:val="2"/>
          <w:numId w:val="1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E877B5">
        <w:rPr>
          <w:rFonts w:ascii="Arial" w:hAnsi="Arial" w:cs="Arial"/>
          <w:sz w:val="24"/>
          <w:szCs w:val="24"/>
        </w:rPr>
        <w:t>In those instances, does the statute of limitations ever run?</w:t>
      </w:r>
      <w:r w:rsidR="00E877B5" w:rsidRPr="00E877B5">
        <w:rPr>
          <w:rFonts w:ascii="Arial" w:hAnsi="Arial" w:cs="Arial"/>
          <w:sz w:val="24"/>
          <w:szCs w:val="24"/>
        </w:rPr>
        <w:t xml:space="preserve"> – </w:t>
      </w:r>
      <w:r w:rsidRPr="00E877B5">
        <w:rPr>
          <w:rFonts w:ascii="Arial" w:hAnsi="Arial" w:cs="Arial"/>
          <w:sz w:val="24"/>
          <w:szCs w:val="24"/>
        </w:rPr>
        <w:t>Possibly</w:t>
      </w:r>
    </w:p>
    <w:p w:rsidR="000E0E8B" w:rsidRDefault="000E0E8B" w:rsidP="000E0E8B">
      <w:pPr>
        <w:pStyle w:val="ListParagraph"/>
        <w:numPr>
          <w:ilvl w:val="3"/>
          <w:numId w:val="1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877B5">
        <w:rPr>
          <w:rFonts w:ascii="Arial" w:hAnsi="Arial" w:cs="Arial"/>
          <w:sz w:val="24"/>
          <w:szCs w:val="24"/>
        </w:rPr>
        <w:t xml:space="preserve">here is a general </w:t>
      </w:r>
      <w:r w:rsidRPr="0011152B">
        <w:rPr>
          <w:rFonts w:ascii="Arial" w:hAnsi="Arial" w:cs="Arial"/>
          <w:sz w:val="24"/>
          <w:szCs w:val="24"/>
          <w:u w:val="single"/>
        </w:rPr>
        <w:t>six year</w:t>
      </w:r>
      <w:r w:rsidRPr="00E877B5">
        <w:rPr>
          <w:rFonts w:ascii="Arial" w:hAnsi="Arial" w:cs="Arial"/>
          <w:sz w:val="24"/>
          <w:szCs w:val="24"/>
        </w:rPr>
        <w:t xml:space="preserve"> statute of limitations on claims against the United States under the Tucke</w:t>
      </w:r>
      <w:r>
        <w:rPr>
          <w:rFonts w:ascii="Arial" w:hAnsi="Arial" w:cs="Arial"/>
          <w:sz w:val="24"/>
          <w:szCs w:val="24"/>
        </w:rPr>
        <w:t>r Act, 28 U.S.C. §§ 2401, 2501</w:t>
      </w:r>
    </w:p>
    <w:p w:rsidR="000E0E8B" w:rsidRDefault="000E0E8B" w:rsidP="000E0E8B">
      <w:pPr>
        <w:pStyle w:val="ListParagraph"/>
        <w:numPr>
          <w:ilvl w:val="3"/>
          <w:numId w:val="1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E877B5">
        <w:rPr>
          <w:rFonts w:ascii="Arial" w:hAnsi="Arial" w:cs="Arial"/>
          <w:sz w:val="24"/>
          <w:szCs w:val="24"/>
        </w:rPr>
        <w:t xml:space="preserve">The “outside limit” on filing a refund suit may be </w:t>
      </w:r>
      <w:r w:rsidRPr="0011152B">
        <w:rPr>
          <w:rFonts w:ascii="Arial" w:hAnsi="Arial" w:cs="Arial"/>
          <w:sz w:val="24"/>
          <w:szCs w:val="24"/>
          <w:u w:val="single"/>
        </w:rPr>
        <w:t>6.5 years</w:t>
      </w:r>
      <w:r w:rsidRPr="00E877B5">
        <w:rPr>
          <w:rFonts w:ascii="Arial" w:hAnsi="Arial" w:cs="Arial"/>
          <w:sz w:val="24"/>
          <w:szCs w:val="24"/>
        </w:rPr>
        <w:t xml:space="preserve"> after filing the claim for refund (i.e., </w:t>
      </w:r>
      <w:r>
        <w:rPr>
          <w:rFonts w:ascii="Arial" w:hAnsi="Arial" w:cs="Arial"/>
          <w:sz w:val="24"/>
          <w:szCs w:val="24"/>
        </w:rPr>
        <w:t>six</w:t>
      </w:r>
      <w:r w:rsidRPr="00E877B5">
        <w:rPr>
          <w:rFonts w:ascii="Arial" w:hAnsi="Arial" w:cs="Arial"/>
          <w:sz w:val="24"/>
          <w:szCs w:val="24"/>
        </w:rPr>
        <w:t xml:space="preserve"> months for the claim to accrue and then </w:t>
      </w:r>
      <w:r>
        <w:rPr>
          <w:rFonts w:ascii="Arial" w:hAnsi="Arial" w:cs="Arial"/>
          <w:sz w:val="24"/>
          <w:szCs w:val="24"/>
        </w:rPr>
        <w:t>six years to bring suit)</w:t>
      </w:r>
    </w:p>
    <w:p w:rsidR="000E0E8B" w:rsidRDefault="000E0E8B" w:rsidP="000E0E8B">
      <w:pPr>
        <w:pStyle w:val="ListParagraph"/>
        <w:numPr>
          <w:ilvl w:val="3"/>
          <w:numId w:val="1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E877B5">
        <w:rPr>
          <w:rFonts w:ascii="Arial" w:hAnsi="Arial" w:cs="Arial"/>
          <w:sz w:val="24"/>
          <w:szCs w:val="24"/>
        </w:rPr>
        <w:t xml:space="preserve">It is unclear whether </w:t>
      </w:r>
      <w:r>
        <w:rPr>
          <w:rFonts w:ascii="Arial" w:hAnsi="Arial" w:cs="Arial"/>
          <w:sz w:val="24"/>
          <w:szCs w:val="24"/>
        </w:rPr>
        <w:t>this</w:t>
      </w:r>
      <w:r w:rsidRPr="00E877B5">
        <w:rPr>
          <w:rFonts w:ascii="Arial" w:hAnsi="Arial" w:cs="Arial"/>
          <w:sz w:val="24"/>
          <w:szCs w:val="24"/>
        </w:rPr>
        <w:t xml:space="preserve"> statute of limitati</w:t>
      </w:r>
      <w:r>
        <w:rPr>
          <w:rFonts w:ascii="Arial" w:hAnsi="Arial" w:cs="Arial"/>
          <w:sz w:val="24"/>
          <w:szCs w:val="24"/>
        </w:rPr>
        <w:t>ons applies to tax refund suits</w:t>
      </w:r>
    </w:p>
    <w:p w:rsidR="007111D4" w:rsidRPr="007111D4" w:rsidRDefault="007111D4" w:rsidP="000E0E8B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lastRenderedPageBreak/>
        <w:t>Suits by the United States to Recover Erroneous Refunds</w:t>
      </w:r>
    </w:p>
    <w:p w:rsidR="007111D4" w:rsidRPr="007111D4" w:rsidRDefault="007111D4" w:rsidP="000E0E8B">
      <w:pPr>
        <w:pStyle w:val="ListParagraph"/>
        <w:numPr>
          <w:ilvl w:val="1"/>
          <w:numId w:val="1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 xml:space="preserve">General Rule – The United States has </w:t>
      </w:r>
      <w:r w:rsidR="00FE64E8" w:rsidRPr="000E0E8B">
        <w:rPr>
          <w:rFonts w:ascii="Arial" w:hAnsi="Arial" w:cs="Arial"/>
          <w:sz w:val="24"/>
          <w:szCs w:val="24"/>
        </w:rPr>
        <w:t>two</w:t>
      </w:r>
      <w:r w:rsidRPr="000E0E8B">
        <w:rPr>
          <w:rFonts w:ascii="Arial" w:hAnsi="Arial" w:cs="Arial"/>
          <w:sz w:val="24"/>
          <w:szCs w:val="24"/>
        </w:rPr>
        <w:t xml:space="preserve"> years</w:t>
      </w:r>
      <w:r w:rsidRPr="007111D4">
        <w:rPr>
          <w:rFonts w:ascii="Arial" w:hAnsi="Arial" w:cs="Arial"/>
          <w:sz w:val="24"/>
          <w:szCs w:val="24"/>
        </w:rPr>
        <w:t xml:space="preserve"> from the date of making an erroneous refund to bring suit for the recovery of that refund</w:t>
      </w:r>
      <w:r w:rsidR="00FE64E8">
        <w:rPr>
          <w:rFonts w:ascii="Arial" w:hAnsi="Arial" w:cs="Arial"/>
          <w:sz w:val="24"/>
          <w:szCs w:val="24"/>
        </w:rPr>
        <w:t xml:space="preserve"> – </w:t>
      </w:r>
      <w:r w:rsidRPr="007111D4">
        <w:rPr>
          <w:rFonts w:ascii="Arial" w:hAnsi="Arial" w:cs="Arial"/>
          <w:sz w:val="24"/>
          <w:szCs w:val="24"/>
        </w:rPr>
        <w:t>IRC § 6532(b)</w:t>
      </w:r>
    </w:p>
    <w:p w:rsidR="007111D4" w:rsidRDefault="007111D4" w:rsidP="000E0E8B">
      <w:pPr>
        <w:pStyle w:val="ListParagraph"/>
        <w:numPr>
          <w:ilvl w:val="1"/>
          <w:numId w:val="1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Fraud Exception – If any part of the refund was induced by fraud or misrepresen</w:t>
      </w:r>
      <w:r w:rsidR="00FE64E8">
        <w:rPr>
          <w:rFonts w:ascii="Arial" w:hAnsi="Arial" w:cs="Arial"/>
          <w:sz w:val="24"/>
          <w:szCs w:val="24"/>
        </w:rPr>
        <w:t>tation of a material fact, the two</w:t>
      </w:r>
      <w:r w:rsidR="00661754">
        <w:rPr>
          <w:rFonts w:ascii="Arial" w:hAnsi="Arial" w:cs="Arial"/>
          <w:sz w:val="24"/>
          <w:szCs w:val="24"/>
        </w:rPr>
        <w:t>-</w:t>
      </w:r>
      <w:r w:rsidRPr="007111D4">
        <w:rPr>
          <w:rFonts w:ascii="Arial" w:hAnsi="Arial" w:cs="Arial"/>
          <w:sz w:val="24"/>
          <w:szCs w:val="24"/>
        </w:rPr>
        <w:t>year period</w:t>
      </w:r>
      <w:r w:rsidR="00FE64E8">
        <w:rPr>
          <w:rFonts w:ascii="Arial" w:hAnsi="Arial" w:cs="Arial"/>
          <w:sz w:val="24"/>
          <w:szCs w:val="24"/>
        </w:rPr>
        <w:t xml:space="preserve"> is extended to a </w:t>
      </w:r>
      <w:bookmarkStart w:id="0" w:name="_GoBack"/>
      <w:r w:rsidR="00FE64E8" w:rsidRPr="0011152B">
        <w:rPr>
          <w:rFonts w:ascii="Arial" w:hAnsi="Arial" w:cs="Arial"/>
          <w:sz w:val="24"/>
          <w:szCs w:val="24"/>
          <w:u w:val="single"/>
        </w:rPr>
        <w:t>five</w:t>
      </w:r>
      <w:r w:rsidR="00661754" w:rsidRPr="0011152B">
        <w:rPr>
          <w:rFonts w:ascii="Arial" w:hAnsi="Arial" w:cs="Arial"/>
          <w:sz w:val="24"/>
          <w:szCs w:val="24"/>
          <w:u w:val="single"/>
        </w:rPr>
        <w:t>-</w:t>
      </w:r>
      <w:r w:rsidR="00FE64E8" w:rsidRPr="0011152B">
        <w:rPr>
          <w:rFonts w:ascii="Arial" w:hAnsi="Arial" w:cs="Arial"/>
          <w:sz w:val="24"/>
          <w:szCs w:val="24"/>
          <w:u w:val="single"/>
        </w:rPr>
        <w:t>year</w:t>
      </w:r>
      <w:bookmarkEnd w:id="0"/>
      <w:r w:rsidR="00FE64E8">
        <w:rPr>
          <w:rFonts w:ascii="Arial" w:hAnsi="Arial" w:cs="Arial"/>
          <w:sz w:val="24"/>
          <w:szCs w:val="24"/>
        </w:rPr>
        <w:t xml:space="preserve"> period</w:t>
      </w:r>
    </w:p>
    <w:p w:rsidR="007111D4" w:rsidRPr="00DA708A" w:rsidRDefault="007111D4" w:rsidP="00757A90">
      <w:pPr>
        <w:pStyle w:val="TaxBodyText"/>
        <w:spacing w:before="240"/>
        <w:rPr>
          <w:rFonts w:ascii="Arial" w:hAnsi="Arial" w:cs="Arial"/>
          <w:b/>
          <w:u w:val="single"/>
        </w:rPr>
      </w:pPr>
      <w:r w:rsidRPr="00DA708A">
        <w:rPr>
          <w:rFonts w:ascii="Arial" w:hAnsi="Arial" w:cs="Arial"/>
          <w:b/>
          <w:u w:val="single"/>
        </w:rPr>
        <w:t>28 USC 2401 Federal Six Year Limitation Period</w:t>
      </w:r>
    </w:p>
    <w:p w:rsidR="007111D4" w:rsidRDefault="007111D4" w:rsidP="001B369B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28 USC 2401(a)’s six</w:t>
      </w:r>
      <w:r w:rsidR="00661754">
        <w:rPr>
          <w:rFonts w:ascii="Arial" w:hAnsi="Arial" w:cs="Arial"/>
          <w:sz w:val="24"/>
          <w:szCs w:val="24"/>
        </w:rPr>
        <w:t xml:space="preserve"> </w:t>
      </w:r>
      <w:r w:rsidRPr="007111D4">
        <w:rPr>
          <w:rFonts w:ascii="Arial" w:hAnsi="Arial" w:cs="Arial"/>
          <w:sz w:val="24"/>
          <w:szCs w:val="24"/>
        </w:rPr>
        <w:t>year rule</w:t>
      </w:r>
    </w:p>
    <w:p w:rsidR="001B369B" w:rsidRDefault="001B369B" w:rsidP="001B369B">
      <w:pPr>
        <w:pStyle w:val="ListParagraph"/>
        <w:numPr>
          <w:ilvl w:val="1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 xml:space="preserve">“Except as provided by chapter 71 of title 41, every civil action commenced against the United States shall be barred unless the complaint is filed within </w:t>
      </w:r>
      <w:r w:rsidRPr="00661754">
        <w:rPr>
          <w:rFonts w:ascii="Arial" w:hAnsi="Arial" w:cs="Arial"/>
          <w:sz w:val="24"/>
          <w:szCs w:val="24"/>
          <w:u w:val="single"/>
        </w:rPr>
        <w:t>six years</w:t>
      </w:r>
      <w:r w:rsidRPr="007111D4">
        <w:rPr>
          <w:rFonts w:ascii="Arial" w:hAnsi="Arial" w:cs="Arial"/>
          <w:sz w:val="24"/>
          <w:szCs w:val="24"/>
        </w:rPr>
        <w:t xml:space="preserve"> after the right </w:t>
      </w:r>
      <w:r>
        <w:rPr>
          <w:rFonts w:ascii="Arial" w:hAnsi="Arial" w:cs="Arial"/>
          <w:sz w:val="24"/>
          <w:szCs w:val="24"/>
        </w:rPr>
        <w:t>of action first accrues</w:t>
      </w:r>
      <w:r w:rsidRPr="007111D4">
        <w:rPr>
          <w:rFonts w:ascii="Arial" w:hAnsi="Arial" w:cs="Arial"/>
          <w:sz w:val="24"/>
          <w:szCs w:val="24"/>
        </w:rPr>
        <w:t>”</w:t>
      </w:r>
    </w:p>
    <w:p w:rsidR="001B369B" w:rsidRDefault="001B369B" w:rsidP="001B369B">
      <w:pPr>
        <w:pStyle w:val="ListParagraph"/>
        <w:numPr>
          <w:ilvl w:val="1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Must be evaluated in context of IRC§ 6532(a)</w:t>
      </w:r>
    </w:p>
    <w:p w:rsidR="001B369B" w:rsidRPr="007111D4" w:rsidRDefault="001B369B" w:rsidP="001B369B">
      <w:pPr>
        <w:pStyle w:val="ListParagraph"/>
        <w:numPr>
          <w:ilvl w:val="2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 xml:space="preserve">Suit is permitted </w:t>
      </w:r>
      <w:r w:rsidRPr="00661754">
        <w:rPr>
          <w:rFonts w:ascii="Arial" w:hAnsi="Arial" w:cs="Arial"/>
          <w:sz w:val="24"/>
          <w:szCs w:val="24"/>
          <w:u w:val="single"/>
        </w:rPr>
        <w:t>six months</w:t>
      </w:r>
      <w:r w:rsidRPr="007111D4">
        <w:rPr>
          <w:rFonts w:ascii="Arial" w:hAnsi="Arial" w:cs="Arial"/>
          <w:sz w:val="24"/>
          <w:szCs w:val="24"/>
        </w:rPr>
        <w:t xml:space="preserve"> after a claim is filed</w:t>
      </w:r>
    </w:p>
    <w:p w:rsidR="00661754" w:rsidRDefault="00661754" w:rsidP="001B369B">
      <w:pPr>
        <w:pStyle w:val="ListParagraph"/>
        <w:numPr>
          <w:ilvl w:val="2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111D4" w:rsidRPr="007111D4">
        <w:rPr>
          <w:rFonts w:ascii="Arial" w:hAnsi="Arial" w:cs="Arial"/>
          <w:sz w:val="24"/>
          <w:szCs w:val="24"/>
        </w:rPr>
        <w:t xml:space="preserve">rovides a </w:t>
      </w:r>
      <w:r w:rsidRPr="001B369B">
        <w:rPr>
          <w:rFonts w:ascii="Arial" w:hAnsi="Arial" w:cs="Arial"/>
          <w:sz w:val="24"/>
          <w:szCs w:val="24"/>
          <w:u w:val="single"/>
        </w:rPr>
        <w:t>two-year</w:t>
      </w:r>
      <w:r w:rsidR="007111D4" w:rsidRPr="007111D4">
        <w:rPr>
          <w:rFonts w:ascii="Arial" w:hAnsi="Arial" w:cs="Arial"/>
          <w:sz w:val="24"/>
          <w:szCs w:val="24"/>
        </w:rPr>
        <w:t xml:space="preserve"> limitations period after </w:t>
      </w:r>
      <w:r>
        <w:rPr>
          <w:rFonts w:ascii="Arial" w:hAnsi="Arial" w:cs="Arial"/>
          <w:sz w:val="24"/>
          <w:szCs w:val="24"/>
        </w:rPr>
        <w:t>the IRS denies the claim</w:t>
      </w:r>
    </w:p>
    <w:p w:rsidR="007111D4" w:rsidRPr="007111D4" w:rsidRDefault="00661754" w:rsidP="001B369B">
      <w:pPr>
        <w:pStyle w:val="ListParagraph"/>
        <w:numPr>
          <w:ilvl w:val="2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IRS does not deny the </w:t>
      </w:r>
      <w:r w:rsidR="007111D4" w:rsidRPr="007111D4">
        <w:rPr>
          <w:rFonts w:ascii="Arial" w:hAnsi="Arial" w:cs="Arial"/>
          <w:sz w:val="24"/>
          <w:szCs w:val="24"/>
        </w:rPr>
        <w:t xml:space="preserve">claim, but six years and six months accrue following </w:t>
      </w:r>
      <w:r>
        <w:rPr>
          <w:rFonts w:ascii="Arial" w:hAnsi="Arial" w:cs="Arial"/>
          <w:sz w:val="24"/>
          <w:szCs w:val="24"/>
        </w:rPr>
        <w:t xml:space="preserve">the </w:t>
      </w:r>
      <w:r w:rsidR="007111D4" w:rsidRPr="007111D4">
        <w:rPr>
          <w:rFonts w:ascii="Arial" w:hAnsi="Arial" w:cs="Arial"/>
          <w:sz w:val="24"/>
          <w:szCs w:val="24"/>
        </w:rPr>
        <w:t xml:space="preserve">filing of </w:t>
      </w:r>
      <w:r>
        <w:rPr>
          <w:rFonts w:ascii="Arial" w:hAnsi="Arial" w:cs="Arial"/>
          <w:sz w:val="24"/>
          <w:szCs w:val="24"/>
        </w:rPr>
        <w:t xml:space="preserve">the </w:t>
      </w:r>
      <w:r w:rsidR="007111D4" w:rsidRPr="007111D4">
        <w:rPr>
          <w:rFonts w:ascii="Arial" w:hAnsi="Arial" w:cs="Arial"/>
          <w:sz w:val="24"/>
          <w:szCs w:val="24"/>
        </w:rPr>
        <w:t>claim, 28 USC 2401(a)’s six-year rule could be in</w:t>
      </w:r>
      <w:r>
        <w:rPr>
          <w:rFonts w:ascii="Arial" w:hAnsi="Arial" w:cs="Arial"/>
          <w:sz w:val="24"/>
          <w:szCs w:val="24"/>
        </w:rPr>
        <w:t>terpreted as an overarching bar</w:t>
      </w:r>
    </w:p>
    <w:p w:rsidR="007111D4" w:rsidRDefault="007820D1" w:rsidP="001B369B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 Interpretation</w:t>
      </w:r>
    </w:p>
    <w:p w:rsidR="001B369B" w:rsidRDefault="001B369B" w:rsidP="001B369B">
      <w:pPr>
        <w:pStyle w:val="ListParagraph"/>
        <w:numPr>
          <w:ilvl w:val="1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7820D1">
        <w:rPr>
          <w:rFonts w:ascii="Arial" w:hAnsi="Arial" w:cs="Arial"/>
          <w:i/>
          <w:sz w:val="24"/>
          <w:szCs w:val="24"/>
        </w:rPr>
        <w:t>Wagenet</w:t>
      </w:r>
      <w:proofErr w:type="spellEnd"/>
      <w:r w:rsidRPr="007820D1">
        <w:rPr>
          <w:rFonts w:ascii="Arial" w:hAnsi="Arial" w:cs="Arial"/>
          <w:i/>
          <w:sz w:val="24"/>
          <w:szCs w:val="24"/>
        </w:rPr>
        <w:t xml:space="preserve"> v. U.S.</w:t>
      </w:r>
      <w:r w:rsidRPr="007820D1">
        <w:rPr>
          <w:rFonts w:ascii="Arial" w:hAnsi="Arial" w:cs="Arial"/>
          <w:sz w:val="24"/>
          <w:szCs w:val="24"/>
        </w:rPr>
        <w:t>, 104 AFTR 2d 2009-7804 (DC CA 2009) – District Court of California held that taxpayer’s refund complaint was untimely because taxpayer filed the claim more than six years earlier, but the IRS did not formally disallow the claim</w:t>
      </w:r>
    </w:p>
    <w:p w:rsidR="001B369B" w:rsidRDefault="001B369B" w:rsidP="001B369B">
      <w:pPr>
        <w:pStyle w:val="ListParagraph"/>
        <w:numPr>
          <w:ilvl w:val="2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820D1">
        <w:rPr>
          <w:rFonts w:ascii="Arial" w:hAnsi="Arial" w:cs="Arial"/>
          <w:sz w:val="24"/>
          <w:szCs w:val="24"/>
        </w:rPr>
        <w:t xml:space="preserve">Although </w:t>
      </w:r>
      <w:r>
        <w:rPr>
          <w:rFonts w:ascii="Arial" w:hAnsi="Arial" w:cs="Arial"/>
          <w:sz w:val="24"/>
          <w:szCs w:val="24"/>
        </w:rPr>
        <w:t>the two</w:t>
      </w:r>
      <w:r w:rsidRPr="007820D1">
        <w:rPr>
          <w:rFonts w:ascii="Arial" w:hAnsi="Arial" w:cs="Arial"/>
          <w:sz w:val="24"/>
          <w:szCs w:val="24"/>
        </w:rPr>
        <w:t>-years-from-disallowance period for filing refund suits</w:t>
      </w:r>
      <w:r>
        <w:rPr>
          <w:rFonts w:ascii="Arial" w:hAnsi="Arial" w:cs="Arial"/>
          <w:sz w:val="24"/>
          <w:szCs w:val="24"/>
        </w:rPr>
        <w:t xml:space="preserve"> under </w:t>
      </w:r>
      <w:r w:rsidR="001115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IRC </w:t>
      </w:r>
      <w:r>
        <w:rPr>
          <w:rFonts w:ascii="Calibri" w:hAnsi="Calibri" w:cs="Calibri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6532(a)(1)</w:t>
      </w:r>
      <w:r w:rsidRPr="007820D1">
        <w:rPr>
          <w:rFonts w:ascii="Arial" w:hAnsi="Arial" w:cs="Arial"/>
          <w:sz w:val="24"/>
          <w:szCs w:val="24"/>
        </w:rPr>
        <w:t xml:space="preserve"> didn't apply, </w:t>
      </w:r>
      <w:r>
        <w:rPr>
          <w:rFonts w:ascii="Arial" w:hAnsi="Arial" w:cs="Arial"/>
          <w:sz w:val="24"/>
          <w:szCs w:val="24"/>
        </w:rPr>
        <w:t xml:space="preserve">the </w:t>
      </w:r>
      <w:r w:rsidRPr="007820D1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six</w:t>
      </w:r>
      <w:r w:rsidRPr="007820D1">
        <w:rPr>
          <w:rFonts w:ascii="Arial" w:hAnsi="Arial" w:cs="Arial"/>
          <w:sz w:val="24"/>
          <w:szCs w:val="24"/>
        </w:rPr>
        <w:t>-year period on any civil suit against the Government</w:t>
      </w:r>
      <w:r>
        <w:rPr>
          <w:rFonts w:ascii="Arial" w:hAnsi="Arial" w:cs="Arial"/>
          <w:sz w:val="24"/>
          <w:szCs w:val="24"/>
        </w:rPr>
        <w:t xml:space="preserve"> under </w:t>
      </w:r>
      <w:r w:rsidRPr="007820D1">
        <w:rPr>
          <w:rFonts w:ascii="Arial" w:hAnsi="Arial" w:cs="Arial"/>
          <w:sz w:val="24"/>
          <w:szCs w:val="24"/>
        </w:rPr>
        <w:t>28 USC 2401(a)</w:t>
      </w:r>
      <w:r>
        <w:rPr>
          <w:rFonts w:ascii="Arial" w:hAnsi="Arial" w:cs="Arial"/>
          <w:sz w:val="24"/>
          <w:szCs w:val="24"/>
        </w:rPr>
        <w:t xml:space="preserve"> </w:t>
      </w:r>
      <w:r w:rsidRPr="007820D1">
        <w:rPr>
          <w:rFonts w:ascii="Arial" w:hAnsi="Arial" w:cs="Arial"/>
          <w:sz w:val="24"/>
          <w:szCs w:val="24"/>
        </w:rPr>
        <w:t>barred</w:t>
      </w:r>
      <w:r>
        <w:rPr>
          <w:rFonts w:ascii="Arial" w:hAnsi="Arial" w:cs="Arial"/>
          <w:sz w:val="24"/>
          <w:szCs w:val="24"/>
        </w:rPr>
        <w:t xml:space="preserve"> the suit</w:t>
      </w:r>
    </w:p>
    <w:p w:rsidR="00B5676D" w:rsidRDefault="00B5676D" w:rsidP="001B369B">
      <w:pPr>
        <w:pStyle w:val="ListParagraph"/>
        <w:numPr>
          <w:ilvl w:val="1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1B369B">
        <w:rPr>
          <w:rFonts w:ascii="Arial" w:hAnsi="Arial" w:cs="Arial"/>
          <w:sz w:val="24"/>
          <w:szCs w:val="24"/>
        </w:rPr>
        <w:t>See also</w:t>
      </w:r>
    </w:p>
    <w:p w:rsidR="001B369B" w:rsidRDefault="001B369B" w:rsidP="001B369B">
      <w:pPr>
        <w:pStyle w:val="ListParagraph"/>
        <w:numPr>
          <w:ilvl w:val="2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7820D1">
        <w:rPr>
          <w:rFonts w:ascii="Arial" w:hAnsi="Arial" w:cs="Arial"/>
          <w:i/>
          <w:sz w:val="24"/>
          <w:szCs w:val="24"/>
        </w:rPr>
        <w:t>Breland</w:t>
      </w:r>
      <w:proofErr w:type="spellEnd"/>
      <w:r w:rsidRPr="007820D1">
        <w:rPr>
          <w:rFonts w:ascii="Arial" w:hAnsi="Arial" w:cs="Arial"/>
          <w:i/>
          <w:sz w:val="24"/>
          <w:szCs w:val="24"/>
        </w:rPr>
        <w:t xml:space="preserve"> v. United States</w:t>
      </w:r>
      <w:r w:rsidRPr="007111D4">
        <w:rPr>
          <w:rFonts w:ascii="Arial" w:hAnsi="Arial" w:cs="Arial"/>
          <w:sz w:val="24"/>
          <w:szCs w:val="24"/>
        </w:rPr>
        <w:t>, 2011 U.S. Dist. LEXIS 104499, 2011 WL 4345300 (N.D.N.Y Sept. 15, 2011);</w:t>
      </w:r>
    </w:p>
    <w:p w:rsidR="001B369B" w:rsidRPr="001B369B" w:rsidRDefault="001B369B" w:rsidP="001B369B">
      <w:pPr>
        <w:pStyle w:val="ListParagraph"/>
        <w:numPr>
          <w:ilvl w:val="2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1B369B">
        <w:rPr>
          <w:rFonts w:ascii="Arial" w:hAnsi="Arial" w:cs="Arial"/>
          <w:i/>
          <w:sz w:val="24"/>
          <w:szCs w:val="24"/>
        </w:rPr>
        <w:t>Finkelstein v. United States</w:t>
      </w:r>
      <w:r w:rsidRPr="007111D4">
        <w:rPr>
          <w:rFonts w:ascii="Arial" w:hAnsi="Arial" w:cs="Arial"/>
          <w:sz w:val="24"/>
          <w:szCs w:val="24"/>
        </w:rPr>
        <w:t>, 943 F. Supp. 425 (D. N.J. 1996)</w:t>
      </w:r>
    </w:p>
    <w:p w:rsidR="007111D4" w:rsidRDefault="007111D4" w:rsidP="001B369B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7111D4">
        <w:rPr>
          <w:rFonts w:ascii="Arial" w:hAnsi="Arial" w:cs="Arial"/>
          <w:sz w:val="24"/>
          <w:szCs w:val="24"/>
        </w:rPr>
        <w:t>Chief Counsel Notice 2012-12 (available at 2012 CCN LEXIS 8)</w:t>
      </w:r>
      <w:r w:rsidR="00086E3B">
        <w:rPr>
          <w:rFonts w:ascii="Arial" w:hAnsi="Arial" w:cs="Arial"/>
          <w:sz w:val="24"/>
          <w:szCs w:val="24"/>
        </w:rPr>
        <w:t xml:space="preserve"> – IRS </w:t>
      </w:r>
      <w:r w:rsidRPr="007111D4">
        <w:rPr>
          <w:rFonts w:ascii="Arial" w:hAnsi="Arial" w:cs="Arial"/>
          <w:sz w:val="24"/>
          <w:szCs w:val="24"/>
        </w:rPr>
        <w:t xml:space="preserve">rejected </w:t>
      </w:r>
      <w:r w:rsidR="00086E3B">
        <w:rPr>
          <w:rFonts w:ascii="Arial" w:hAnsi="Arial" w:cs="Arial"/>
          <w:sz w:val="24"/>
          <w:szCs w:val="24"/>
        </w:rPr>
        <w:t xml:space="preserve">the </w:t>
      </w:r>
      <w:r w:rsidRPr="007111D4">
        <w:rPr>
          <w:rFonts w:ascii="Arial" w:hAnsi="Arial" w:cs="Arial"/>
          <w:sz w:val="24"/>
          <w:szCs w:val="24"/>
        </w:rPr>
        <w:t xml:space="preserve">position taken in </w:t>
      </w:r>
      <w:proofErr w:type="spellStart"/>
      <w:r w:rsidRPr="0036196E">
        <w:rPr>
          <w:rFonts w:ascii="Arial" w:hAnsi="Arial" w:cs="Arial"/>
          <w:i/>
          <w:sz w:val="24"/>
          <w:szCs w:val="24"/>
        </w:rPr>
        <w:t>Wagenet</w:t>
      </w:r>
      <w:proofErr w:type="spellEnd"/>
      <w:r w:rsidRPr="007111D4">
        <w:rPr>
          <w:rFonts w:ascii="Arial" w:hAnsi="Arial" w:cs="Arial"/>
          <w:sz w:val="24"/>
          <w:szCs w:val="24"/>
        </w:rPr>
        <w:t xml:space="preserve"> and similar cases and </w:t>
      </w:r>
      <w:r w:rsidR="00086E3B">
        <w:rPr>
          <w:rFonts w:ascii="Arial" w:hAnsi="Arial" w:cs="Arial"/>
          <w:sz w:val="24"/>
          <w:szCs w:val="24"/>
        </w:rPr>
        <w:t xml:space="preserve">does </w:t>
      </w:r>
      <w:r w:rsidRPr="007111D4">
        <w:rPr>
          <w:rFonts w:ascii="Arial" w:hAnsi="Arial" w:cs="Arial"/>
          <w:sz w:val="24"/>
          <w:szCs w:val="24"/>
        </w:rPr>
        <w:t>not to take the position that the g</w:t>
      </w:r>
      <w:r w:rsidR="00086E3B">
        <w:rPr>
          <w:rFonts w:ascii="Arial" w:hAnsi="Arial" w:cs="Arial"/>
          <w:sz w:val="24"/>
          <w:szCs w:val="24"/>
        </w:rPr>
        <w:t>eneral six year statute applies</w:t>
      </w:r>
    </w:p>
    <w:p w:rsidR="001B369B" w:rsidRDefault="001B369B" w:rsidP="001B369B">
      <w:pPr>
        <w:pStyle w:val="ListParagraph"/>
        <w:numPr>
          <w:ilvl w:val="1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32705">
        <w:rPr>
          <w:rFonts w:ascii="Arial" w:hAnsi="Arial" w:cs="Arial"/>
          <w:sz w:val="24"/>
          <w:szCs w:val="24"/>
        </w:rPr>
        <w:t>“Although favorable to the government, the holdings regarding the application of 28 U.S.C. § 2401 to refund suits brought under section 7422 are inconsistent with Rev. Rul. 56-381 and the decisions cited therein that reject the argument that six-year periods of limitation in either 28 U.S.C. § 2401 or 2501 apply to bar tax refund suits</w:t>
      </w:r>
      <w:r>
        <w:rPr>
          <w:rFonts w:ascii="Arial" w:hAnsi="Arial" w:cs="Arial"/>
          <w:sz w:val="24"/>
          <w:szCs w:val="24"/>
        </w:rPr>
        <w:t xml:space="preserve">.  . . . </w:t>
      </w:r>
    </w:p>
    <w:p w:rsidR="007111D4" w:rsidRPr="007111D4" w:rsidRDefault="001B369B" w:rsidP="00D02D01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C32705">
        <w:rPr>
          <w:rFonts w:ascii="Arial" w:hAnsi="Arial" w:cs="Arial"/>
          <w:sz w:val="24"/>
          <w:szCs w:val="24"/>
        </w:rPr>
        <w:t>Chief Counsel attorneys must continue to follow Rev. Rul. 56-381 and should advise the Service or the Department of Justice that the general six-year period of limitation for bringing claims against the government in 28 U.S.C. §§ 2401 and 2501 does not apply to tax refund suits.”</w:t>
      </w:r>
    </w:p>
    <w:sectPr w:rsidR="007111D4" w:rsidRPr="007111D4" w:rsidSect="00D02D0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771"/>
    <w:multiLevelType w:val="multilevel"/>
    <w:tmpl w:val="FEEC35B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0" w:firstLine="0"/>
      </w:pPr>
      <w:rPr>
        <w:rFonts w:ascii="Arial" w:hAnsi="Arial" w:hint="default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440" w:firstLine="0"/>
      </w:pPr>
      <w:rPr>
        <w:rFonts w:ascii="Arial" w:hAnsi="Arial" w:hint="default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700"/>
        </w:tabs>
        <w:ind w:left="2340" w:firstLine="0"/>
      </w:pPr>
      <w:rPr>
        <w:rFonts w:ascii="Arial" w:hAnsi="Arial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3600" w:firstLine="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4320" w:firstLine="0"/>
      </w:pPr>
      <w:rPr>
        <w:rFonts w:ascii="Arial" w:hAnsi="Arial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1">
    <w:nsid w:val="0EB56E55"/>
    <w:multiLevelType w:val="multilevel"/>
    <w:tmpl w:val="39EC9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24F6AAF"/>
    <w:multiLevelType w:val="multilevel"/>
    <w:tmpl w:val="1A0CA8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Arial" w:hAnsi="Arial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259E5A47"/>
    <w:multiLevelType w:val="multilevel"/>
    <w:tmpl w:val="39EC9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6C33430"/>
    <w:multiLevelType w:val="multilevel"/>
    <w:tmpl w:val="39EC9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7FA24F6"/>
    <w:multiLevelType w:val="multilevel"/>
    <w:tmpl w:val="1A0CA8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Arial" w:hAnsi="Arial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3A592D1F"/>
    <w:multiLevelType w:val="multilevel"/>
    <w:tmpl w:val="FEEC35B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0" w:firstLine="0"/>
      </w:pPr>
      <w:rPr>
        <w:rFonts w:ascii="Arial" w:hAnsi="Arial" w:hint="default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440" w:firstLine="0"/>
      </w:pPr>
      <w:rPr>
        <w:rFonts w:ascii="Arial" w:hAnsi="Arial" w:hint="default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700"/>
        </w:tabs>
        <w:ind w:left="2340" w:firstLine="0"/>
      </w:pPr>
      <w:rPr>
        <w:rFonts w:ascii="Arial" w:hAnsi="Arial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3600" w:firstLine="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4320" w:firstLine="0"/>
      </w:pPr>
      <w:rPr>
        <w:rFonts w:ascii="Arial" w:hAnsi="Arial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7">
    <w:nsid w:val="402F1322"/>
    <w:multiLevelType w:val="multilevel"/>
    <w:tmpl w:val="1A0CA8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Arial" w:hAnsi="Arial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4F3D2270"/>
    <w:multiLevelType w:val="multilevel"/>
    <w:tmpl w:val="1A0CA8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Arial" w:hAnsi="Arial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55D346E5"/>
    <w:multiLevelType w:val="multilevel"/>
    <w:tmpl w:val="1A0CA8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Arial" w:hAnsi="Arial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56D60679"/>
    <w:multiLevelType w:val="multilevel"/>
    <w:tmpl w:val="39EC9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D915D22"/>
    <w:multiLevelType w:val="multilevel"/>
    <w:tmpl w:val="1A0CA8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Arial" w:hAnsi="Arial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>
    <w:nsid w:val="62DA00D9"/>
    <w:multiLevelType w:val="multilevel"/>
    <w:tmpl w:val="1A0CA8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Arial" w:hAnsi="Arial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6F7C46F3"/>
    <w:multiLevelType w:val="multilevel"/>
    <w:tmpl w:val="1A0CA8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ascii="Arial" w:hAnsi="Arial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7298144C"/>
    <w:multiLevelType w:val="multilevel"/>
    <w:tmpl w:val="39EC9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A4906E7"/>
    <w:multiLevelType w:val="hybridMultilevel"/>
    <w:tmpl w:val="8C1EBFEC"/>
    <w:lvl w:ilvl="0" w:tplc="3076A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1228A2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5B0E9A0E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4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D4"/>
    <w:rsid w:val="00056079"/>
    <w:rsid w:val="00065D12"/>
    <w:rsid w:val="00086E3B"/>
    <w:rsid w:val="000E0E8B"/>
    <w:rsid w:val="0011152B"/>
    <w:rsid w:val="00121E9A"/>
    <w:rsid w:val="00154554"/>
    <w:rsid w:val="001855E8"/>
    <w:rsid w:val="001A4DDA"/>
    <w:rsid w:val="001B369B"/>
    <w:rsid w:val="00292F8B"/>
    <w:rsid w:val="00315E36"/>
    <w:rsid w:val="00330FE4"/>
    <w:rsid w:val="00337913"/>
    <w:rsid w:val="003569E7"/>
    <w:rsid w:val="0036196E"/>
    <w:rsid w:val="004132BB"/>
    <w:rsid w:val="00420886"/>
    <w:rsid w:val="00487032"/>
    <w:rsid w:val="00497489"/>
    <w:rsid w:val="004B5850"/>
    <w:rsid w:val="00577A46"/>
    <w:rsid w:val="005A0A53"/>
    <w:rsid w:val="005A4225"/>
    <w:rsid w:val="005D053E"/>
    <w:rsid w:val="005E5F1C"/>
    <w:rsid w:val="00643F86"/>
    <w:rsid w:val="00661754"/>
    <w:rsid w:val="00674639"/>
    <w:rsid w:val="006B0B83"/>
    <w:rsid w:val="006E15AB"/>
    <w:rsid w:val="007111D4"/>
    <w:rsid w:val="0074786C"/>
    <w:rsid w:val="00757A90"/>
    <w:rsid w:val="00771B53"/>
    <w:rsid w:val="007820D1"/>
    <w:rsid w:val="00783E98"/>
    <w:rsid w:val="007C2A54"/>
    <w:rsid w:val="007C7C3A"/>
    <w:rsid w:val="007F7AF5"/>
    <w:rsid w:val="00805C9C"/>
    <w:rsid w:val="008074C5"/>
    <w:rsid w:val="009428A1"/>
    <w:rsid w:val="009B00E2"/>
    <w:rsid w:val="009C77F3"/>
    <w:rsid w:val="009D64FF"/>
    <w:rsid w:val="00A16AB9"/>
    <w:rsid w:val="00A3268C"/>
    <w:rsid w:val="00AF4E2B"/>
    <w:rsid w:val="00B5676D"/>
    <w:rsid w:val="00B629A1"/>
    <w:rsid w:val="00B744AF"/>
    <w:rsid w:val="00BA5F31"/>
    <w:rsid w:val="00BE1BB2"/>
    <w:rsid w:val="00C7238B"/>
    <w:rsid w:val="00C74BA2"/>
    <w:rsid w:val="00C77056"/>
    <w:rsid w:val="00C80D73"/>
    <w:rsid w:val="00D02D01"/>
    <w:rsid w:val="00E877B5"/>
    <w:rsid w:val="00EA3911"/>
    <w:rsid w:val="00EB6F1F"/>
    <w:rsid w:val="00F53B59"/>
    <w:rsid w:val="00F777B2"/>
    <w:rsid w:val="00FB317F"/>
    <w:rsid w:val="00FB6A65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xBodyText">
    <w:name w:val="Tax Body Text"/>
    <w:basedOn w:val="Normal"/>
    <w:qFormat/>
    <w:rsid w:val="007111D4"/>
    <w:pPr>
      <w:spacing w:after="24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11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xBodyText">
    <w:name w:val="Tax Body Text"/>
    <w:basedOn w:val="Normal"/>
    <w:qFormat/>
    <w:rsid w:val="007111D4"/>
    <w:pPr>
      <w:spacing w:after="24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11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104E-DC6E-42CA-BFC7-C43B39BD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Burns</dc:creator>
  <cp:lastModifiedBy>Kristen Burns</cp:lastModifiedBy>
  <cp:revision>5</cp:revision>
  <dcterms:created xsi:type="dcterms:W3CDTF">2014-11-13T00:55:00Z</dcterms:created>
  <dcterms:modified xsi:type="dcterms:W3CDTF">2014-11-13T01:00:00Z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UFAAhWon0ndq8EwbakvOUESukp2tC54MDBd0ILPXoaRTg1uWzjXWkmasu+9QfSosvzNW5hKUrrdAKCaD
PgX97iv56C4c5K56W8JfF7/s2/TdGKl6or7l7v0oysNjpF5TI5+thsO6LX2Ss2UHvEEpXmfza+2D
qNKm1f6A4tk/ve3br05nM3+rCFyog/tBi51bICmlZqBpPx0lbAe9ASH8629ewimvF36DDTSie6uF
9mIroIl6syAuqdl6A</vt:lpwstr>
  </property>
  <property fmtid="{D5CDD505-2E9C-101B-9397-08002B2CF9AE}" pid="4" name="MAIL_MSG_ID2">
    <vt:lpwstr>UBmIuPhv7iC5Lsk4FJArH+qVSzmXAgSu3eBw0aa2PBeWH+PkBiDoKdonbTq
AjqeiGdUIsQpktx63swxzrED5cE=</vt:lpwstr>
  </property>
  <property fmtid="{D5CDD505-2E9C-101B-9397-08002B2CF9AE}" pid="5" name="RESPONSE_SENDER_NAME">
    <vt:lpwstr>4AAA4Lxe55UJ0C/rYO9ZkyY3J6sLsH50mmhoxesu0Gj8GxLwrgoRyLSAig==</vt:lpwstr>
  </property>
  <property fmtid="{D5CDD505-2E9C-101B-9397-08002B2CF9AE}" pid="6" name="EMAIL_OWNER_ADDRESS">
    <vt:lpwstr>4AAA6DouqOs9baH7bSw5GmLzuMeDv68XSwSp8A6Ymht1tn3llZyvXSIfMA==</vt:lpwstr>
  </property>
</Properties>
</file>