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EF" w:rsidRPr="00047BBA" w:rsidRDefault="001205A8" w:rsidP="00A14B1C">
      <w:pPr>
        <w:spacing w:after="0"/>
        <w:jc w:val="center"/>
        <w:rPr>
          <w:b/>
          <w:sz w:val="24"/>
          <w:szCs w:val="24"/>
        </w:rPr>
      </w:pPr>
      <w:bookmarkStart w:id="0" w:name="_GoBack"/>
      <w:bookmarkEnd w:id="0"/>
      <w:r w:rsidRPr="00047BBA">
        <w:rPr>
          <w:b/>
          <w:sz w:val="24"/>
          <w:szCs w:val="24"/>
        </w:rPr>
        <w:t>Sovereign Immunity Vehicle Exception Research 2013</w:t>
      </w:r>
    </w:p>
    <w:p w:rsidR="001205A8" w:rsidRPr="00047BBA" w:rsidRDefault="001205A8" w:rsidP="001205A8">
      <w:pPr>
        <w:spacing w:after="0"/>
      </w:pPr>
    </w:p>
    <w:tbl>
      <w:tblPr>
        <w:tblStyle w:val="TableGrid"/>
        <w:tblW w:w="0" w:type="auto"/>
        <w:tblLook w:val="04A0" w:firstRow="1" w:lastRow="0" w:firstColumn="1" w:lastColumn="0" w:noHBand="0" w:noVBand="1"/>
      </w:tblPr>
      <w:tblGrid>
        <w:gridCol w:w="2191"/>
        <w:gridCol w:w="695"/>
        <w:gridCol w:w="1769"/>
        <w:gridCol w:w="1557"/>
        <w:gridCol w:w="3540"/>
        <w:gridCol w:w="3424"/>
      </w:tblGrid>
      <w:tr w:rsidR="00E01BE6" w:rsidRPr="00E01BE6" w:rsidTr="00E01BE6">
        <w:trPr>
          <w:cantSplit/>
          <w:tblHeader/>
        </w:trPr>
        <w:tc>
          <w:tcPr>
            <w:tcW w:w="2191" w:type="dxa"/>
          </w:tcPr>
          <w:p w:rsidR="00E01BE6" w:rsidRPr="00E01BE6" w:rsidRDefault="00E01BE6" w:rsidP="00E01BE6">
            <w:pPr>
              <w:rPr>
                <w:b/>
              </w:rPr>
            </w:pPr>
            <w:r w:rsidRPr="00E01BE6">
              <w:rPr>
                <w:b/>
              </w:rPr>
              <w:t>CASE NAME,CT,DATE</w:t>
            </w:r>
          </w:p>
        </w:tc>
        <w:tc>
          <w:tcPr>
            <w:tcW w:w="695" w:type="dxa"/>
          </w:tcPr>
          <w:p w:rsidR="00E01BE6" w:rsidRPr="00E01BE6" w:rsidRDefault="00E01BE6" w:rsidP="001205A8">
            <w:pPr>
              <w:rPr>
                <w:b/>
              </w:rPr>
            </w:pPr>
            <w:r w:rsidRPr="00E01BE6">
              <w:rPr>
                <w:b/>
              </w:rPr>
              <w:t>YEAR</w:t>
            </w:r>
          </w:p>
        </w:tc>
        <w:tc>
          <w:tcPr>
            <w:tcW w:w="1769" w:type="dxa"/>
          </w:tcPr>
          <w:p w:rsidR="00E01BE6" w:rsidRPr="00E01BE6" w:rsidRDefault="00E01BE6" w:rsidP="001205A8">
            <w:pPr>
              <w:rPr>
                <w:b/>
              </w:rPr>
            </w:pPr>
            <w:r w:rsidRPr="00E01BE6">
              <w:rPr>
                <w:b/>
              </w:rPr>
              <w:t>VEHICLE TYPE</w:t>
            </w:r>
          </w:p>
        </w:tc>
        <w:tc>
          <w:tcPr>
            <w:tcW w:w="1557" w:type="dxa"/>
          </w:tcPr>
          <w:p w:rsidR="00E01BE6" w:rsidRPr="00E01BE6" w:rsidRDefault="00E01BE6" w:rsidP="001205A8">
            <w:pPr>
              <w:rPr>
                <w:b/>
              </w:rPr>
            </w:pPr>
            <w:r w:rsidRPr="00E01BE6">
              <w:rPr>
                <w:b/>
              </w:rPr>
              <w:t>MOVEMENT TYPE</w:t>
            </w:r>
          </w:p>
        </w:tc>
        <w:tc>
          <w:tcPr>
            <w:tcW w:w="3540" w:type="dxa"/>
          </w:tcPr>
          <w:p w:rsidR="00E01BE6" w:rsidRPr="00E01BE6" w:rsidRDefault="00E01BE6" w:rsidP="001205A8">
            <w:pPr>
              <w:rPr>
                <w:b/>
              </w:rPr>
            </w:pPr>
            <w:r w:rsidRPr="00E01BE6">
              <w:rPr>
                <w:b/>
              </w:rPr>
              <w:t>HOLDING</w:t>
            </w:r>
          </w:p>
        </w:tc>
        <w:tc>
          <w:tcPr>
            <w:tcW w:w="3424" w:type="dxa"/>
          </w:tcPr>
          <w:p w:rsidR="00E01BE6" w:rsidRPr="00E01BE6" w:rsidRDefault="00E01BE6" w:rsidP="001205A8">
            <w:pPr>
              <w:rPr>
                <w:b/>
              </w:rPr>
            </w:pPr>
            <w:r w:rsidRPr="00E01BE6">
              <w:rPr>
                <w:b/>
              </w:rPr>
              <w:t>ANALYSIS</w:t>
            </w:r>
          </w:p>
        </w:tc>
      </w:tr>
      <w:tr w:rsidR="00E01BE6" w:rsidRPr="00047BBA" w:rsidTr="00E01BE6">
        <w:trPr>
          <w:cantSplit/>
        </w:trPr>
        <w:tc>
          <w:tcPr>
            <w:tcW w:w="2191" w:type="dxa"/>
          </w:tcPr>
          <w:p w:rsidR="00E01BE6" w:rsidRPr="00227C1A" w:rsidRDefault="00E01BE6" w:rsidP="00F85092">
            <w:pPr>
              <w:rPr>
                <w:rFonts w:eastAsia="Times New Roman" w:cs="Times New Roman"/>
                <w:lang w:val="en"/>
              </w:rPr>
            </w:pPr>
            <w:r w:rsidRPr="005D65D0">
              <w:rPr>
                <w:rFonts w:eastAsia="Times New Roman" w:cs="Times New Roman"/>
                <w:lang w:val="en"/>
              </w:rPr>
              <w:t>Howard v. SEPTA, 2011 Pa. Commw. Unpub. LEXIS 688 (Pa. Commw. Ct. 2011)</w:t>
            </w:r>
            <w:r w:rsidRPr="00227C1A">
              <w:rPr>
                <w:rFonts w:eastAsia="Times New Roman" w:cs="Times New Roman"/>
                <w:lang w:val="en"/>
              </w:rPr>
              <w:t>, aff’d, 2011 Pa. Commw. LEXIS 432 (Pa. Commw. Ct. 2011)</w:t>
            </w:r>
          </w:p>
          <w:p w:rsidR="00E01BE6" w:rsidRPr="00227C1A" w:rsidRDefault="00E01BE6" w:rsidP="00F85092">
            <w:pPr>
              <w:rPr>
                <w:rFonts w:eastAsia="Times New Roman" w:cs="Times New Roman"/>
                <w:lang w:val="en"/>
              </w:rPr>
            </w:pPr>
          </w:p>
        </w:tc>
        <w:tc>
          <w:tcPr>
            <w:tcW w:w="695" w:type="dxa"/>
          </w:tcPr>
          <w:p w:rsidR="00E01BE6" w:rsidRPr="00047BBA" w:rsidRDefault="00E01BE6" w:rsidP="00F85092">
            <w:r>
              <w:t>2011</w:t>
            </w:r>
          </w:p>
        </w:tc>
        <w:tc>
          <w:tcPr>
            <w:tcW w:w="1769" w:type="dxa"/>
          </w:tcPr>
          <w:p w:rsidR="00E01BE6" w:rsidRPr="00047BBA" w:rsidRDefault="00E01BE6" w:rsidP="00F85092">
            <w:r w:rsidRPr="00047BBA">
              <w:t>SEPTA train</w:t>
            </w:r>
          </w:p>
        </w:tc>
        <w:tc>
          <w:tcPr>
            <w:tcW w:w="1557" w:type="dxa"/>
          </w:tcPr>
          <w:p w:rsidR="00E01BE6" w:rsidRPr="00047BBA" w:rsidRDefault="00E01BE6" w:rsidP="00F85092">
            <w:r w:rsidRPr="00047BBA">
              <w:t>Nonmoving train at station; P passenger fell when exiting</w:t>
            </w:r>
          </w:p>
        </w:tc>
        <w:tc>
          <w:tcPr>
            <w:tcW w:w="3540" w:type="dxa"/>
          </w:tcPr>
          <w:p w:rsidR="00E01BE6" w:rsidRPr="00047BBA" w:rsidRDefault="00E01BE6" w:rsidP="00F85092">
            <w:r w:rsidRPr="00047BBA">
              <w:t>Completely stopped train not “in operation” for purposes of vehicle exception</w:t>
            </w:r>
          </w:p>
        </w:tc>
        <w:tc>
          <w:tcPr>
            <w:tcW w:w="3424" w:type="dxa"/>
          </w:tcPr>
          <w:p w:rsidR="00E01BE6" w:rsidRPr="00047BBA" w:rsidRDefault="00E01BE6" w:rsidP="00F85092">
            <w:pPr>
              <w:pStyle w:val="ListParagraph"/>
              <w:numPr>
                <w:ilvl w:val="0"/>
                <w:numId w:val="4"/>
              </w:numPr>
              <w:rPr>
                <w:sz w:val="20"/>
                <w:szCs w:val="20"/>
              </w:rPr>
            </w:pPr>
            <w:r w:rsidRPr="00047BBA">
              <w:rPr>
                <w:sz w:val="20"/>
                <w:szCs w:val="20"/>
              </w:rPr>
              <w:t>Alleged negligence of conductor to align train steps with platform not within “operation” of the train</w:t>
            </w:r>
          </w:p>
          <w:p w:rsidR="00E01BE6" w:rsidRPr="00047BBA" w:rsidRDefault="00E01BE6" w:rsidP="00F85092">
            <w:pPr>
              <w:pStyle w:val="ListParagraph"/>
              <w:numPr>
                <w:ilvl w:val="0"/>
                <w:numId w:val="4"/>
              </w:numPr>
              <w:rPr>
                <w:sz w:val="20"/>
                <w:szCs w:val="20"/>
              </w:rPr>
            </w:pPr>
            <w:r w:rsidRPr="00047BBA">
              <w:rPr>
                <w:sz w:val="20"/>
                <w:szCs w:val="20"/>
              </w:rPr>
              <w:t>alighting/boarding stopped vehicle not within vehicle exception</w:t>
            </w:r>
          </w:p>
          <w:p w:rsidR="00E01BE6" w:rsidRPr="00047BBA" w:rsidRDefault="00E01BE6" w:rsidP="00F85092">
            <w:pPr>
              <w:pStyle w:val="ListParagraph"/>
              <w:numPr>
                <w:ilvl w:val="0"/>
                <w:numId w:val="4"/>
              </w:numPr>
              <w:rPr>
                <w:sz w:val="20"/>
                <w:szCs w:val="20"/>
              </w:rPr>
            </w:pPr>
            <w:r w:rsidRPr="00047BBA">
              <w:rPr>
                <w:sz w:val="20"/>
                <w:szCs w:val="20"/>
              </w:rPr>
              <w:t>mere act of stopping does not constitute “operation”</w:t>
            </w:r>
          </w:p>
        </w:tc>
      </w:tr>
      <w:tr w:rsidR="00E01BE6" w:rsidRPr="00047BBA" w:rsidTr="00E01BE6">
        <w:trPr>
          <w:cantSplit/>
        </w:trPr>
        <w:tc>
          <w:tcPr>
            <w:tcW w:w="2191" w:type="dxa"/>
          </w:tcPr>
          <w:p w:rsidR="00E01BE6" w:rsidRPr="00047BBA" w:rsidRDefault="00E01BE6" w:rsidP="00E037A7">
            <w:r w:rsidRPr="00047BBA">
              <w:rPr>
                <w:lang w:val="en"/>
              </w:rPr>
              <w:t>Royal v. SEPTA, 10 A.3d 927, 2010 Pa. Commw. LEXIS 670 (Pa. Cmwlth. 2010).</w:t>
            </w:r>
          </w:p>
          <w:p w:rsidR="00E01BE6" w:rsidRPr="00047BBA" w:rsidRDefault="00E01BE6" w:rsidP="00E037A7">
            <w:pPr>
              <w:rPr>
                <w:bCs/>
                <w:sz w:val="17"/>
                <w:szCs w:val="17"/>
              </w:rPr>
            </w:pPr>
          </w:p>
        </w:tc>
        <w:tc>
          <w:tcPr>
            <w:tcW w:w="695" w:type="dxa"/>
          </w:tcPr>
          <w:p w:rsidR="00E01BE6" w:rsidRPr="00047BBA" w:rsidRDefault="00E01BE6" w:rsidP="00E037A7">
            <w:r>
              <w:t>2010</w:t>
            </w:r>
          </w:p>
        </w:tc>
        <w:tc>
          <w:tcPr>
            <w:tcW w:w="1769" w:type="dxa"/>
          </w:tcPr>
          <w:p w:rsidR="00E01BE6" w:rsidRPr="00047BBA" w:rsidRDefault="00E01BE6" w:rsidP="00E037A7">
            <w:r w:rsidRPr="00047BBA">
              <w:t>SEPTA bus</w:t>
            </w:r>
          </w:p>
        </w:tc>
        <w:tc>
          <w:tcPr>
            <w:tcW w:w="1557" w:type="dxa"/>
          </w:tcPr>
          <w:p w:rsidR="00E01BE6" w:rsidRPr="00047BBA" w:rsidRDefault="00E01BE6" w:rsidP="00E037A7">
            <w:r w:rsidRPr="00047BBA">
              <w:t>Nonmoving bus at bus stop</w:t>
            </w:r>
          </w:p>
        </w:tc>
        <w:tc>
          <w:tcPr>
            <w:tcW w:w="3540" w:type="dxa"/>
          </w:tcPr>
          <w:p w:rsidR="00E01BE6" w:rsidRPr="00047BBA" w:rsidRDefault="00E01BE6" w:rsidP="00E037A7">
            <w:r w:rsidRPr="00047BBA">
              <w:t>Vehicle Exception for negligent operation of a motor vehicle inapplicable where public bus was not in “operation” at the time P fell while attempting to exit the bus; injury was not caused by any physical movement of the bus</w:t>
            </w:r>
          </w:p>
        </w:tc>
        <w:tc>
          <w:tcPr>
            <w:tcW w:w="3424" w:type="dxa"/>
          </w:tcPr>
          <w:p w:rsidR="00E01BE6" w:rsidRPr="00047BBA" w:rsidRDefault="00E01BE6" w:rsidP="00887258">
            <w:pPr>
              <w:pStyle w:val="ListParagraph"/>
              <w:numPr>
                <w:ilvl w:val="0"/>
                <w:numId w:val="1"/>
              </w:numPr>
              <w:rPr>
                <w:sz w:val="20"/>
                <w:szCs w:val="20"/>
              </w:rPr>
            </w:pPr>
            <w:r w:rsidRPr="00047BBA">
              <w:rPr>
                <w:sz w:val="20"/>
                <w:szCs w:val="20"/>
              </w:rPr>
              <w:t>Bus was not in operation when passenger fell while exiting bus that was stopped, motionless, and not kneeling.</w:t>
            </w:r>
          </w:p>
          <w:p w:rsidR="00E01BE6" w:rsidRPr="00047BBA" w:rsidRDefault="00E01BE6" w:rsidP="00887258">
            <w:pPr>
              <w:pStyle w:val="ListParagraph"/>
              <w:numPr>
                <w:ilvl w:val="0"/>
                <w:numId w:val="1"/>
              </w:numPr>
              <w:rPr>
                <w:sz w:val="20"/>
                <w:szCs w:val="20"/>
              </w:rPr>
            </w:pPr>
            <w:r w:rsidRPr="00047BBA">
              <w:rPr>
                <w:sz w:val="20"/>
                <w:szCs w:val="20"/>
              </w:rPr>
              <w:t>Movement of a vehicle, or its parts, that is merely ancillary to that vehicle’s normal operation does not trigger exception</w:t>
            </w:r>
          </w:p>
        </w:tc>
      </w:tr>
      <w:tr w:rsidR="00E01BE6" w:rsidRPr="00047BBA" w:rsidTr="00E01BE6">
        <w:trPr>
          <w:cantSplit/>
        </w:trPr>
        <w:tc>
          <w:tcPr>
            <w:tcW w:w="2191" w:type="dxa"/>
          </w:tcPr>
          <w:p w:rsidR="00E01BE6" w:rsidRPr="00047BBA" w:rsidRDefault="00E01BE6" w:rsidP="00E037A7">
            <w:pPr>
              <w:rPr>
                <w:bCs/>
              </w:rPr>
            </w:pPr>
            <w:r w:rsidRPr="00047BBA">
              <w:rPr>
                <w:bCs/>
              </w:rPr>
              <w:lastRenderedPageBreak/>
              <w:t>Bottoms v. SEPTA, 805 A.2d 47 (Pa. Commw. Ct. 2002)</w:t>
            </w:r>
          </w:p>
        </w:tc>
        <w:tc>
          <w:tcPr>
            <w:tcW w:w="695" w:type="dxa"/>
          </w:tcPr>
          <w:p w:rsidR="00E01BE6" w:rsidRPr="00047BBA" w:rsidRDefault="00E01BE6" w:rsidP="00E037A7">
            <w:r>
              <w:t>2002</w:t>
            </w:r>
          </w:p>
        </w:tc>
        <w:tc>
          <w:tcPr>
            <w:tcW w:w="1769" w:type="dxa"/>
          </w:tcPr>
          <w:p w:rsidR="00E01BE6" w:rsidRPr="00047BBA" w:rsidRDefault="00E01BE6" w:rsidP="00E037A7">
            <w:r w:rsidRPr="00047BBA">
              <w:t>SEPTA bus</w:t>
            </w:r>
          </w:p>
        </w:tc>
        <w:tc>
          <w:tcPr>
            <w:tcW w:w="1557" w:type="dxa"/>
          </w:tcPr>
          <w:p w:rsidR="00E01BE6" w:rsidRPr="00047BBA" w:rsidRDefault="00E01BE6" w:rsidP="00E037A7">
            <w:r w:rsidRPr="00047BBA">
              <w:t>Nonmoving bus at bus stop</w:t>
            </w:r>
          </w:p>
        </w:tc>
        <w:tc>
          <w:tcPr>
            <w:tcW w:w="3540" w:type="dxa"/>
          </w:tcPr>
          <w:p w:rsidR="00E01BE6" w:rsidRPr="00047BBA" w:rsidRDefault="00E01BE6" w:rsidP="00E037A7">
            <w:r w:rsidRPr="00047BBA">
              <w:t xml:space="preserve">Bus standing still discharging passengers not “in operation” as required for the vehicle liability exception to apply  </w:t>
            </w:r>
          </w:p>
        </w:tc>
        <w:tc>
          <w:tcPr>
            <w:tcW w:w="3424" w:type="dxa"/>
          </w:tcPr>
          <w:p w:rsidR="00E01BE6" w:rsidRPr="00047BBA" w:rsidRDefault="00E01BE6" w:rsidP="00D93187">
            <w:pPr>
              <w:pStyle w:val="ListParagraph"/>
              <w:numPr>
                <w:ilvl w:val="0"/>
                <w:numId w:val="2"/>
              </w:numPr>
              <w:rPr>
                <w:color w:val="333333"/>
                <w:sz w:val="20"/>
                <w:szCs w:val="20"/>
              </w:rPr>
            </w:pPr>
            <w:r w:rsidRPr="00047BBA">
              <w:rPr>
                <w:color w:val="333333"/>
                <w:sz w:val="20"/>
                <w:szCs w:val="20"/>
              </w:rPr>
              <w:t>To be in operation, generally entire vehicle is moving, but a moving party (such as a bus door) has been found to be “in operation.”  However, in no case has a P been successful in showing “operation” in the circumstances of entering/exiting a stopped vehicle</w:t>
            </w:r>
          </w:p>
          <w:p w:rsidR="00E01BE6" w:rsidRPr="00047BBA" w:rsidRDefault="00E01BE6" w:rsidP="00D93187">
            <w:pPr>
              <w:pStyle w:val="ListParagraph"/>
              <w:numPr>
                <w:ilvl w:val="0"/>
                <w:numId w:val="2"/>
              </w:numPr>
              <w:rPr>
                <w:sz w:val="20"/>
                <w:szCs w:val="20"/>
              </w:rPr>
            </w:pPr>
            <w:r w:rsidRPr="00047BBA">
              <w:rPr>
                <w:color w:val="333333"/>
                <w:sz w:val="20"/>
                <w:szCs w:val="20"/>
              </w:rPr>
              <w:t>It was not a movement of the bus itself that caused the passenger's injuries from falling while exiting bus</w:t>
            </w:r>
          </w:p>
        </w:tc>
      </w:tr>
      <w:tr w:rsidR="00127E3E" w:rsidRPr="00047BBA" w:rsidTr="00E01BE6">
        <w:trPr>
          <w:cantSplit/>
        </w:trPr>
        <w:tc>
          <w:tcPr>
            <w:tcW w:w="2191" w:type="dxa"/>
          </w:tcPr>
          <w:p w:rsidR="00127E3E" w:rsidRPr="002F4FD9" w:rsidRDefault="00127E3E" w:rsidP="00F85092">
            <w:pPr>
              <w:rPr>
                <w:rFonts w:eastAsia="Times New Roman" w:cs="Times New Roman"/>
                <w:lang w:val="en"/>
              </w:rPr>
            </w:pPr>
            <w:r>
              <w:t>Love v. City of Philadelphia, 518 Pa. 370, 1998</w:t>
            </w:r>
          </w:p>
        </w:tc>
        <w:tc>
          <w:tcPr>
            <w:tcW w:w="695" w:type="dxa"/>
          </w:tcPr>
          <w:p w:rsidR="00127E3E" w:rsidRDefault="00127E3E" w:rsidP="00F85092">
            <w:r>
              <w:t>1998</w:t>
            </w:r>
          </w:p>
        </w:tc>
        <w:tc>
          <w:tcPr>
            <w:tcW w:w="1769" w:type="dxa"/>
          </w:tcPr>
          <w:p w:rsidR="00127E3E" w:rsidRPr="00BA1DF0" w:rsidRDefault="00127E3E" w:rsidP="00F85092">
            <w:r>
              <w:t>City van</w:t>
            </w:r>
          </w:p>
        </w:tc>
        <w:tc>
          <w:tcPr>
            <w:tcW w:w="1557" w:type="dxa"/>
          </w:tcPr>
          <w:p w:rsidR="00127E3E" w:rsidRPr="00BA1DF0" w:rsidRDefault="00127E3E" w:rsidP="00F85092">
            <w:r>
              <w:t>P fell while exiting van</w:t>
            </w:r>
          </w:p>
        </w:tc>
        <w:tc>
          <w:tcPr>
            <w:tcW w:w="3540" w:type="dxa"/>
          </w:tcPr>
          <w:p w:rsidR="00127E3E" w:rsidRPr="00BA1DF0" w:rsidRDefault="00127E3E" w:rsidP="00F85092">
            <w:r>
              <w:t>The act of entering into and alighting from a motor vehicle does not constitute operation of that vehicle for purposes of motor vehicle liability exception</w:t>
            </w:r>
          </w:p>
        </w:tc>
        <w:tc>
          <w:tcPr>
            <w:tcW w:w="3424" w:type="dxa"/>
          </w:tcPr>
          <w:p w:rsidR="00456D28" w:rsidRDefault="00127E3E" w:rsidP="00F85092">
            <w:pPr>
              <w:pStyle w:val="ListParagraph"/>
              <w:numPr>
                <w:ilvl w:val="0"/>
                <w:numId w:val="5"/>
              </w:numPr>
              <w:rPr>
                <w:sz w:val="20"/>
                <w:szCs w:val="20"/>
              </w:rPr>
            </w:pPr>
            <w:r>
              <w:rPr>
                <w:sz w:val="20"/>
                <w:szCs w:val="20"/>
              </w:rPr>
              <w:t xml:space="preserve"> “operation”</w:t>
            </w:r>
            <w:r w:rsidR="00456D28">
              <w:rPr>
                <w:sz w:val="20"/>
                <w:szCs w:val="20"/>
              </w:rPr>
              <w:t xml:space="preserve"> must be construed strictly/narrowly</w:t>
            </w:r>
          </w:p>
          <w:p w:rsidR="00127E3E" w:rsidRPr="00BA1DF0" w:rsidRDefault="00127E3E" w:rsidP="00F85092">
            <w:pPr>
              <w:pStyle w:val="ListParagraph"/>
              <w:numPr>
                <w:ilvl w:val="0"/>
                <w:numId w:val="5"/>
              </w:numPr>
              <w:rPr>
                <w:sz w:val="20"/>
                <w:szCs w:val="20"/>
              </w:rPr>
            </w:pPr>
            <w:r>
              <w:rPr>
                <w:sz w:val="20"/>
                <w:szCs w:val="20"/>
              </w:rPr>
              <w:t xml:space="preserve"> woman injured from falling from steps of stopped city-owned van, vehicle liability exception did not apply because van was not operating at time of fall</w:t>
            </w:r>
          </w:p>
        </w:tc>
      </w:tr>
      <w:tr w:rsidR="00E01BE6" w:rsidRPr="00047BBA" w:rsidTr="00E01BE6">
        <w:trPr>
          <w:cantSplit/>
        </w:trPr>
        <w:tc>
          <w:tcPr>
            <w:tcW w:w="2191" w:type="dxa"/>
          </w:tcPr>
          <w:p w:rsidR="00E01BE6" w:rsidRPr="002F4FD9" w:rsidRDefault="00E01BE6" w:rsidP="00F85092">
            <w:pPr>
              <w:rPr>
                <w:rFonts w:eastAsia="Times New Roman" w:cs="Times New Roman"/>
                <w:lang w:val="en"/>
              </w:rPr>
            </w:pPr>
            <w:r w:rsidRPr="002F4FD9">
              <w:rPr>
                <w:rFonts w:eastAsia="Times New Roman" w:cs="Times New Roman"/>
                <w:lang w:val="en"/>
              </w:rPr>
              <w:t>Berman v. Southeastern Pa. Trans. Auth., 698 A.2d 1362 (Pa. Commw. Ct. 1997)</w:t>
            </w:r>
          </w:p>
          <w:p w:rsidR="00E01BE6" w:rsidRPr="00BA1DF0" w:rsidRDefault="00E01BE6" w:rsidP="00F85092">
            <w:pPr>
              <w:rPr>
                <w:bCs/>
                <w:sz w:val="17"/>
                <w:szCs w:val="17"/>
              </w:rPr>
            </w:pPr>
          </w:p>
        </w:tc>
        <w:tc>
          <w:tcPr>
            <w:tcW w:w="695" w:type="dxa"/>
          </w:tcPr>
          <w:p w:rsidR="00E01BE6" w:rsidRPr="00BA1DF0" w:rsidRDefault="00E01BE6" w:rsidP="00F85092">
            <w:r>
              <w:t>1997</w:t>
            </w:r>
          </w:p>
        </w:tc>
        <w:tc>
          <w:tcPr>
            <w:tcW w:w="1769" w:type="dxa"/>
          </w:tcPr>
          <w:p w:rsidR="00E01BE6" w:rsidRPr="00BA1DF0" w:rsidRDefault="00E01BE6" w:rsidP="00F85092">
            <w:r w:rsidRPr="00BA1DF0">
              <w:t>SEPTA bus</w:t>
            </w:r>
          </w:p>
        </w:tc>
        <w:tc>
          <w:tcPr>
            <w:tcW w:w="1557" w:type="dxa"/>
          </w:tcPr>
          <w:p w:rsidR="00E01BE6" w:rsidRPr="00BA1DF0" w:rsidRDefault="00E01BE6" w:rsidP="00F85092">
            <w:r w:rsidRPr="00BA1DF0">
              <w:t xml:space="preserve">Nonmoving bus at bus stop, P passenger fell on crowded bus steps while exiting bus </w:t>
            </w:r>
          </w:p>
        </w:tc>
        <w:tc>
          <w:tcPr>
            <w:tcW w:w="3540" w:type="dxa"/>
          </w:tcPr>
          <w:p w:rsidR="00E01BE6" w:rsidRPr="00BA1DF0" w:rsidRDefault="00E01BE6" w:rsidP="00F85092">
            <w:r w:rsidRPr="00BA1DF0">
              <w:t>Bus driver’s actions in allowing bus to become overcrowded did not constitute negligent “operation” of a vehicle for purposes of vehicle exception because failure to limit number of passengers on bus was an act ancillary to the actual operation of the vehicle</w:t>
            </w:r>
          </w:p>
        </w:tc>
        <w:tc>
          <w:tcPr>
            <w:tcW w:w="3424" w:type="dxa"/>
          </w:tcPr>
          <w:p w:rsidR="00E01BE6" w:rsidRPr="00BA1DF0" w:rsidRDefault="00E01BE6" w:rsidP="00F85092">
            <w:pPr>
              <w:pStyle w:val="ListParagraph"/>
              <w:numPr>
                <w:ilvl w:val="0"/>
                <w:numId w:val="5"/>
              </w:numPr>
              <w:rPr>
                <w:sz w:val="20"/>
                <w:szCs w:val="20"/>
              </w:rPr>
            </w:pPr>
            <w:r w:rsidRPr="00BA1DF0">
              <w:rPr>
                <w:sz w:val="20"/>
                <w:szCs w:val="20"/>
              </w:rPr>
              <w:t>Bus not liable for harm where negligence only facilitated injuries caused by third parties (crowd of passengers)</w:t>
            </w:r>
          </w:p>
        </w:tc>
      </w:tr>
      <w:tr w:rsidR="00E01BE6" w:rsidRPr="00047BBA" w:rsidTr="00E01BE6">
        <w:trPr>
          <w:cantSplit/>
        </w:trPr>
        <w:tc>
          <w:tcPr>
            <w:tcW w:w="2191" w:type="dxa"/>
          </w:tcPr>
          <w:p w:rsidR="00E01BE6" w:rsidRPr="00545E80" w:rsidRDefault="00E01BE6" w:rsidP="00F85092">
            <w:pPr>
              <w:rPr>
                <w:rFonts w:eastAsia="Times New Roman" w:cs="Times New Roman"/>
                <w:lang w:val="en"/>
              </w:rPr>
            </w:pPr>
            <w:r w:rsidRPr="00545E80">
              <w:rPr>
                <w:rFonts w:eastAsia="Times New Roman" w:cs="Times New Roman"/>
                <w:lang w:val="en"/>
              </w:rPr>
              <w:lastRenderedPageBreak/>
              <w:t>Greenleaf v. SEPTA, 698 A.2d 170 (Pa. Commw. Ct. 1997)</w:t>
            </w:r>
          </w:p>
          <w:p w:rsidR="00E01BE6" w:rsidRPr="00545E80" w:rsidRDefault="00E01BE6" w:rsidP="00F85092">
            <w:pPr>
              <w:rPr>
                <w:b/>
                <w:bCs/>
                <w:highlight w:val="green"/>
              </w:rPr>
            </w:pPr>
          </w:p>
        </w:tc>
        <w:tc>
          <w:tcPr>
            <w:tcW w:w="695" w:type="dxa"/>
          </w:tcPr>
          <w:p w:rsidR="00E01BE6" w:rsidRPr="00545E80" w:rsidRDefault="00E01BE6" w:rsidP="00F85092">
            <w:r>
              <w:t>1997</w:t>
            </w:r>
          </w:p>
        </w:tc>
        <w:tc>
          <w:tcPr>
            <w:tcW w:w="1769" w:type="dxa"/>
          </w:tcPr>
          <w:p w:rsidR="00E01BE6" w:rsidRPr="00545E80" w:rsidRDefault="00E01BE6" w:rsidP="00F85092">
            <w:r w:rsidRPr="00545E80">
              <w:t>SEPTA subway train</w:t>
            </w:r>
          </w:p>
        </w:tc>
        <w:tc>
          <w:tcPr>
            <w:tcW w:w="1557" w:type="dxa"/>
          </w:tcPr>
          <w:p w:rsidR="00E01BE6" w:rsidRPr="00545E80" w:rsidRDefault="00E01BE6" w:rsidP="00F85092">
            <w:r w:rsidRPr="00545E80">
              <w:t>P passenger shot by third party on subway train</w:t>
            </w:r>
          </w:p>
        </w:tc>
        <w:tc>
          <w:tcPr>
            <w:tcW w:w="3540" w:type="dxa"/>
          </w:tcPr>
          <w:p w:rsidR="00E01BE6" w:rsidRPr="00545E80" w:rsidRDefault="00E01BE6" w:rsidP="00F85092">
            <w:r w:rsidRPr="00545E80">
              <w:t>Vehicle liability exception does not apply where plaintiff’s injuries were not caused by the movement of the vehicle or any of its parts and were caused by the criminal acts of a third party</w:t>
            </w:r>
          </w:p>
        </w:tc>
        <w:tc>
          <w:tcPr>
            <w:tcW w:w="3424" w:type="dxa"/>
          </w:tcPr>
          <w:p w:rsidR="00E01BE6" w:rsidRPr="00545E80" w:rsidRDefault="00E01BE6" w:rsidP="00F85092">
            <w:pPr>
              <w:pStyle w:val="ListParagraph"/>
              <w:numPr>
                <w:ilvl w:val="0"/>
                <w:numId w:val="5"/>
              </w:numPr>
              <w:rPr>
                <w:sz w:val="20"/>
                <w:szCs w:val="20"/>
              </w:rPr>
            </w:pPr>
            <w:r w:rsidRPr="00545E80">
              <w:rPr>
                <w:sz w:val="20"/>
                <w:szCs w:val="20"/>
              </w:rPr>
              <w:t>P passenger claimed subway train car operator was negligent in failing to open train door to let plaintiff escape third party’s attack</w:t>
            </w:r>
          </w:p>
        </w:tc>
      </w:tr>
      <w:tr w:rsidR="00CE34B0" w:rsidRPr="00047BBA" w:rsidTr="00E01BE6">
        <w:trPr>
          <w:cantSplit/>
        </w:trPr>
        <w:tc>
          <w:tcPr>
            <w:tcW w:w="2191" w:type="dxa"/>
          </w:tcPr>
          <w:p w:rsidR="00CE34B0" w:rsidRDefault="00CE34B0" w:rsidP="00F85092">
            <w:r>
              <w:t>Johnson v. Pennsylvania State  Police, 23 Pa. D. &amp; C. 4th 154, 1995</w:t>
            </w:r>
          </w:p>
        </w:tc>
        <w:tc>
          <w:tcPr>
            <w:tcW w:w="695" w:type="dxa"/>
          </w:tcPr>
          <w:p w:rsidR="00CE34B0" w:rsidRDefault="00CE34B0" w:rsidP="00E037A7">
            <w:r>
              <w:t>1995</w:t>
            </w:r>
          </w:p>
        </w:tc>
        <w:tc>
          <w:tcPr>
            <w:tcW w:w="1769" w:type="dxa"/>
          </w:tcPr>
          <w:p w:rsidR="00CE34B0" w:rsidRDefault="00CE34B0" w:rsidP="00E037A7">
            <w:r>
              <w:t>PA State Trooper car parked on side of highway</w:t>
            </w:r>
          </w:p>
        </w:tc>
        <w:tc>
          <w:tcPr>
            <w:tcW w:w="1557" w:type="dxa"/>
          </w:tcPr>
          <w:p w:rsidR="00CE34B0" w:rsidRDefault="00CE34B0" w:rsidP="00E037A7">
            <w:r>
              <w:t>Tractor trailer truck collision with chain of cars</w:t>
            </w:r>
          </w:p>
        </w:tc>
        <w:tc>
          <w:tcPr>
            <w:tcW w:w="3540" w:type="dxa"/>
          </w:tcPr>
          <w:p w:rsidR="00CE34B0" w:rsidRDefault="00CE34B0" w:rsidP="00E037A7">
            <w:r>
              <w:t>PA State Trooper standing outside of parked car and manually directing traffic was not “operating” a motor vehicle in her possession or control at the time of the collision</w:t>
            </w:r>
          </w:p>
        </w:tc>
        <w:tc>
          <w:tcPr>
            <w:tcW w:w="3424" w:type="dxa"/>
          </w:tcPr>
          <w:p w:rsidR="00CE34B0" w:rsidRDefault="00CE34B0" w:rsidP="0082340B">
            <w:pPr>
              <w:pStyle w:val="ListParagraph"/>
              <w:numPr>
                <w:ilvl w:val="0"/>
                <w:numId w:val="5"/>
              </w:numPr>
              <w:rPr>
                <w:sz w:val="20"/>
                <w:szCs w:val="20"/>
                <w:lang w:val="en"/>
              </w:rPr>
            </w:pPr>
            <w:r>
              <w:rPr>
                <w:sz w:val="20"/>
                <w:szCs w:val="20"/>
                <w:lang w:val="en"/>
              </w:rPr>
              <w:t>PA State Trooper parked her car on the side of the road and stood in lane to manually direct traffic around an accident</w:t>
            </w:r>
          </w:p>
          <w:p w:rsidR="00CE34B0" w:rsidRDefault="00CE34B0" w:rsidP="0082340B">
            <w:pPr>
              <w:pStyle w:val="ListParagraph"/>
              <w:numPr>
                <w:ilvl w:val="0"/>
                <w:numId w:val="5"/>
              </w:numPr>
              <w:rPr>
                <w:sz w:val="20"/>
                <w:szCs w:val="20"/>
                <w:lang w:val="en"/>
              </w:rPr>
            </w:pPr>
            <w:r>
              <w:rPr>
                <w:sz w:val="20"/>
                <w:szCs w:val="20"/>
                <w:lang w:val="en"/>
              </w:rPr>
              <w:t>Tractor trailer truck failed to stop, resulting in chain collision with other cars</w:t>
            </w:r>
          </w:p>
        </w:tc>
      </w:tr>
      <w:tr w:rsidR="00AA6E2D" w:rsidRPr="00047BBA" w:rsidTr="00E01BE6">
        <w:trPr>
          <w:cantSplit/>
        </w:trPr>
        <w:tc>
          <w:tcPr>
            <w:tcW w:w="2191" w:type="dxa"/>
          </w:tcPr>
          <w:p w:rsidR="00AA6E2D" w:rsidRDefault="00AA6E2D" w:rsidP="00F85092">
            <w:r>
              <w:rPr>
                <w:rFonts w:ascii="Verdana" w:hAnsi="Verdana"/>
                <w:sz w:val="17"/>
                <w:szCs w:val="17"/>
              </w:rPr>
              <w:t>Taylor v. Jackson, 164 Pa. Commw. 482 (Pa. Commw. Ct. 1994)</w:t>
            </w:r>
          </w:p>
        </w:tc>
        <w:tc>
          <w:tcPr>
            <w:tcW w:w="695" w:type="dxa"/>
          </w:tcPr>
          <w:p w:rsidR="00AA6E2D" w:rsidRDefault="00AA6E2D" w:rsidP="00E037A7">
            <w:r>
              <w:t>1994</w:t>
            </w:r>
          </w:p>
        </w:tc>
        <w:tc>
          <w:tcPr>
            <w:tcW w:w="1769" w:type="dxa"/>
          </w:tcPr>
          <w:p w:rsidR="00AA6E2D" w:rsidRDefault="00AA6E2D" w:rsidP="00F85092">
            <w:r>
              <w:t>PSP car</w:t>
            </w:r>
          </w:p>
        </w:tc>
        <w:tc>
          <w:tcPr>
            <w:tcW w:w="1557" w:type="dxa"/>
          </w:tcPr>
          <w:p w:rsidR="00AA6E2D" w:rsidRDefault="00AA6E2D" w:rsidP="00F85092">
            <w:r>
              <w:t>Plaintiff vehicle crashed into backlog from tractor-trailer accident that had occurred 2 hours earlier; PSP cars were at accident site to direct traffic</w:t>
            </w:r>
          </w:p>
        </w:tc>
        <w:tc>
          <w:tcPr>
            <w:tcW w:w="3540" w:type="dxa"/>
          </w:tcPr>
          <w:p w:rsidR="00AA6E2D" w:rsidRDefault="00AA6E2D" w:rsidP="00F85092">
            <w:r>
              <w:t>Motor vehicle exception does not apply where PSP did not operate their vehicles in a negligent manner.</w:t>
            </w:r>
          </w:p>
        </w:tc>
        <w:tc>
          <w:tcPr>
            <w:tcW w:w="3424" w:type="dxa"/>
          </w:tcPr>
          <w:p w:rsidR="00AA6E2D" w:rsidRDefault="00AA6E2D" w:rsidP="00AA6E2D">
            <w:pPr>
              <w:pStyle w:val="ListParagraph"/>
              <w:numPr>
                <w:ilvl w:val="0"/>
                <w:numId w:val="6"/>
              </w:numPr>
            </w:pPr>
            <w:r>
              <w:t>PSP arrived at accident pile-up of cars to set flares and direct traffic, more collision pile-ups occurred afterward.</w:t>
            </w:r>
          </w:p>
          <w:p w:rsidR="00AA6E2D" w:rsidRDefault="00AA6E2D" w:rsidP="00AA6E2D">
            <w:pPr>
              <w:pStyle w:val="ListParagraph"/>
              <w:numPr>
                <w:ilvl w:val="0"/>
                <w:numId w:val="6"/>
              </w:numPr>
            </w:pPr>
            <w:r>
              <w:t>SI vehicle exception claim rejected PSP did not operate their vehicles in a negligent manner while patrolling the line of traffic.</w:t>
            </w:r>
          </w:p>
        </w:tc>
      </w:tr>
      <w:tr w:rsidR="00AA6E2D" w:rsidRPr="00047BBA" w:rsidTr="00E01BE6">
        <w:trPr>
          <w:cantSplit/>
        </w:trPr>
        <w:tc>
          <w:tcPr>
            <w:tcW w:w="2191" w:type="dxa"/>
          </w:tcPr>
          <w:p w:rsidR="00AA6E2D" w:rsidRPr="00323773" w:rsidRDefault="00AA6E2D" w:rsidP="00F85092">
            <w:r>
              <w:lastRenderedPageBreak/>
              <w:t>Conaway v. Kirschner, 18 Pa. D. 7 C. 4th 338, 1993</w:t>
            </w:r>
          </w:p>
        </w:tc>
        <w:tc>
          <w:tcPr>
            <w:tcW w:w="695" w:type="dxa"/>
          </w:tcPr>
          <w:p w:rsidR="00AA6E2D" w:rsidRDefault="00AA6E2D" w:rsidP="00E037A7">
            <w:r>
              <w:t>1993</w:t>
            </w:r>
          </w:p>
        </w:tc>
        <w:tc>
          <w:tcPr>
            <w:tcW w:w="1769" w:type="dxa"/>
          </w:tcPr>
          <w:p w:rsidR="00AA6E2D" w:rsidRDefault="00AA6E2D" w:rsidP="00E037A7">
            <w:r>
              <w:t>DOT vehicle parked on side of road</w:t>
            </w:r>
          </w:p>
        </w:tc>
        <w:tc>
          <w:tcPr>
            <w:tcW w:w="1557" w:type="dxa"/>
          </w:tcPr>
          <w:p w:rsidR="00AA6E2D" w:rsidRDefault="00AA6E2D" w:rsidP="00E037A7">
            <w:r>
              <w:t>P collision with parked vehicle</w:t>
            </w:r>
          </w:p>
        </w:tc>
        <w:tc>
          <w:tcPr>
            <w:tcW w:w="3540" w:type="dxa"/>
          </w:tcPr>
          <w:p w:rsidR="00AA6E2D" w:rsidRDefault="00AA6E2D" w:rsidP="00E037A7">
            <w:r>
              <w:t>Parked vehicle not in operation for purposes of vehicle exception when struck by P’s vehicle; negligent training or supervision of employees does not fall within vehicle exception</w:t>
            </w:r>
          </w:p>
        </w:tc>
        <w:tc>
          <w:tcPr>
            <w:tcW w:w="3424" w:type="dxa"/>
          </w:tcPr>
          <w:p w:rsidR="00AA6E2D" w:rsidRDefault="00AA6E2D" w:rsidP="0082340B">
            <w:pPr>
              <w:pStyle w:val="ListParagraph"/>
              <w:numPr>
                <w:ilvl w:val="0"/>
                <w:numId w:val="5"/>
              </w:numPr>
              <w:rPr>
                <w:sz w:val="20"/>
                <w:szCs w:val="20"/>
                <w:lang w:val="en"/>
              </w:rPr>
            </w:pPr>
            <w:r>
              <w:rPr>
                <w:sz w:val="20"/>
                <w:szCs w:val="20"/>
                <w:lang w:val="en"/>
              </w:rPr>
              <w:t>Stopped vehicle not “in operation,” even if evidence could be shown that DOT was negligent in supervising/training employees</w:t>
            </w:r>
          </w:p>
          <w:p w:rsidR="00AA6E2D" w:rsidRDefault="00AA6E2D" w:rsidP="0082340B">
            <w:pPr>
              <w:pStyle w:val="ListParagraph"/>
              <w:numPr>
                <w:ilvl w:val="0"/>
                <w:numId w:val="5"/>
              </w:numPr>
              <w:rPr>
                <w:sz w:val="20"/>
                <w:szCs w:val="20"/>
                <w:lang w:val="en"/>
              </w:rPr>
            </w:pPr>
            <w:r>
              <w:rPr>
                <w:sz w:val="20"/>
                <w:szCs w:val="20"/>
                <w:lang w:val="en"/>
              </w:rPr>
              <w:t>Narrow construction of exception means that alleged liability must arise out of “operation of vehicle”</w:t>
            </w:r>
          </w:p>
        </w:tc>
      </w:tr>
      <w:tr w:rsidR="00AA6E2D" w:rsidRPr="00047BBA" w:rsidTr="00E01BE6">
        <w:trPr>
          <w:cantSplit/>
        </w:trPr>
        <w:tc>
          <w:tcPr>
            <w:tcW w:w="2191" w:type="dxa"/>
          </w:tcPr>
          <w:p w:rsidR="00AA6E2D" w:rsidRPr="00323773" w:rsidRDefault="00AA6E2D" w:rsidP="00F85092">
            <w:r w:rsidRPr="00323773">
              <w:t>First Nat’l Bank v. Commonwealth, DOT, 148 Pa. Commw. 158, 1992 (appeal denied 1992)</w:t>
            </w:r>
          </w:p>
        </w:tc>
        <w:tc>
          <w:tcPr>
            <w:tcW w:w="695" w:type="dxa"/>
          </w:tcPr>
          <w:p w:rsidR="00AA6E2D" w:rsidRDefault="00AA6E2D" w:rsidP="00E037A7">
            <w:r>
              <w:t>1992</w:t>
            </w:r>
          </w:p>
        </w:tc>
        <w:tc>
          <w:tcPr>
            <w:tcW w:w="1769" w:type="dxa"/>
          </w:tcPr>
          <w:p w:rsidR="00AA6E2D" w:rsidRDefault="00AA6E2D" w:rsidP="00E037A7">
            <w:r>
              <w:t>DOT vehicle parked on right berm of road</w:t>
            </w:r>
          </w:p>
        </w:tc>
        <w:tc>
          <w:tcPr>
            <w:tcW w:w="1557" w:type="dxa"/>
          </w:tcPr>
          <w:p w:rsidR="00AA6E2D" w:rsidRDefault="00AA6E2D" w:rsidP="00E037A7">
            <w:r>
              <w:t>P collision with parked vehicle</w:t>
            </w:r>
          </w:p>
        </w:tc>
        <w:tc>
          <w:tcPr>
            <w:tcW w:w="3540" w:type="dxa"/>
          </w:tcPr>
          <w:p w:rsidR="00AA6E2D" w:rsidRDefault="00AA6E2D" w:rsidP="00E037A7">
            <w:r>
              <w:t>DOT vehicle was not in operation for the purposes of imposing liability on DOT under vehicle exception to SI.  Motor vehicle exception to SI applies only where damages are caused by the “operation of any vehicle in the possession or control of a Cmnwlth party.”  DOT vehicle not affixed to the roadway so as to be a condition of the roadway for purposes of the real estate exception.</w:t>
            </w:r>
          </w:p>
        </w:tc>
        <w:tc>
          <w:tcPr>
            <w:tcW w:w="3424" w:type="dxa"/>
          </w:tcPr>
          <w:p w:rsidR="00AA6E2D" w:rsidRDefault="00AA6E2D" w:rsidP="0082340B">
            <w:pPr>
              <w:pStyle w:val="ListParagraph"/>
              <w:numPr>
                <w:ilvl w:val="0"/>
                <w:numId w:val="5"/>
              </w:numPr>
              <w:rPr>
                <w:sz w:val="20"/>
                <w:szCs w:val="20"/>
                <w:lang w:val="en"/>
              </w:rPr>
            </w:pPr>
            <w:r>
              <w:rPr>
                <w:sz w:val="20"/>
                <w:szCs w:val="20"/>
                <w:lang w:val="en"/>
              </w:rPr>
              <w:t>DOT vehicle was temporarily parked on side of road because DOT employees intended to place delineators on adjacent highway.</w:t>
            </w:r>
          </w:p>
          <w:p w:rsidR="00AA6E2D" w:rsidRDefault="00AA6E2D" w:rsidP="0082340B">
            <w:pPr>
              <w:pStyle w:val="ListParagraph"/>
              <w:numPr>
                <w:ilvl w:val="0"/>
                <w:numId w:val="5"/>
              </w:numPr>
              <w:rPr>
                <w:sz w:val="20"/>
                <w:szCs w:val="20"/>
                <w:lang w:val="en"/>
              </w:rPr>
            </w:pPr>
            <w:r>
              <w:rPr>
                <w:sz w:val="20"/>
                <w:szCs w:val="20"/>
                <w:lang w:val="en"/>
              </w:rPr>
              <w:t>Vehicle ruled not in operation despite facts that vehicle’s motor was running and the vehicle was only making a temporary stop on the side of road with lights flashing.</w:t>
            </w:r>
          </w:p>
          <w:p w:rsidR="00AA6E2D" w:rsidRPr="0082340B" w:rsidRDefault="00AA6E2D" w:rsidP="0082340B">
            <w:pPr>
              <w:pStyle w:val="ListParagraph"/>
              <w:numPr>
                <w:ilvl w:val="0"/>
                <w:numId w:val="5"/>
              </w:numPr>
              <w:rPr>
                <w:sz w:val="20"/>
                <w:szCs w:val="20"/>
                <w:lang w:val="en"/>
              </w:rPr>
            </w:pPr>
            <w:r>
              <w:rPr>
                <w:sz w:val="20"/>
                <w:szCs w:val="20"/>
                <w:lang w:val="en"/>
              </w:rPr>
              <w:t>Vehicle was not temporarily stopped in traffic, and P decedent’s injuries were not caused by any part of the DOT vehicle.</w:t>
            </w:r>
          </w:p>
        </w:tc>
      </w:tr>
      <w:tr w:rsidR="00AA6E2D" w:rsidRPr="00047BBA" w:rsidTr="00E01BE6">
        <w:trPr>
          <w:cantSplit/>
        </w:trPr>
        <w:tc>
          <w:tcPr>
            <w:tcW w:w="2191" w:type="dxa"/>
          </w:tcPr>
          <w:p w:rsidR="00AA6E2D" w:rsidRDefault="00AA6E2D" w:rsidP="00E037A7">
            <w:pPr>
              <w:rPr>
                <w:rFonts w:ascii="Verdana" w:hAnsi="Verdana"/>
                <w:bCs/>
                <w:sz w:val="17"/>
                <w:szCs w:val="17"/>
              </w:rPr>
            </w:pPr>
            <w:r w:rsidRPr="006F6C87">
              <w:rPr>
                <w:lang w:val="en"/>
              </w:rPr>
              <w:lastRenderedPageBreak/>
              <w:t>Toombs v. Manning, 640 F. Supp. 938 (E.D. Pa. 1986)</w:t>
            </w:r>
            <w:r>
              <w:rPr>
                <w:lang w:val="en"/>
              </w:rPr>
              <w:t xml:space="preserve">, aff’d in part, rev’d in part, </w:t>
            </w:r>
            <w:r w:rsidRPr="006F6C87">
              <w:rPr>
                <w:lang w:val="en"/>
              </w:rPr>
              <w:t>835 F.2d 453 (3d Cir. Pa. 1987)</w:t>
            </w:r>
          </w:p>
        </w:tc>
        <w:tc>
          <w:tcPr>
            <w:tcW w:w="695" w:type="dxa"/>
          </w:tcPr>
          <w:p w:rsidR="00AA6E2D" w:rsidRDefault="00AA6E2D" w:rsidP="00E037A7">
            <w:r>
              <w:t>1987</w:t>
            </w:r>
          </w:p>
        </w:tc>
        <w:tc>
          <w:tcPr>
            <w:tcW w:w="1769" w:type="dxa"/>
          </w:tcPr>
          <w:p w:rsidR="00AA6E2D" w:rsidRDefault="00AA6E2D" w:rsidP="00E037A7">
            <w:r>
              <w:t>SEPTA subway train</w:t>
            </w:r>
          </w:p>
        </w:tc>
        <w:tc>
          <w:tcPr>
            <w:tcW w:w="1557" w:type="dxa"/>
          </w:tcPr>
          <w:p w:rsidR="00AA6E2D" w:rsidRDefault="00AA6E2D" w:rsidP="00E037A7">
            <w:r>
              <w:t>Subway train struck P passenger who fell onto</w:t>
            </w:r>
          </w:p>
        </w:tc>
        <w:tc>
          <w:tcPr>
            <w:tcW w:w="3540" w:type="dxa"/>
          </w:tcPr>
          <w:p w:rsidR="00AA6E2D" w:rsidRDefault="00AA6E2D" w:rsidP="00E037A7">
            <w:r>
              <w:t>Vehicle exception applied to waive immunity w/r/t negligence of subway train driver; vehicle liability exception does not limit waiver of immunity to events which actually occur in vehicle itself</w:t>
            </w:r>
          </w:p>
        </w:tc>
        <w:tc>
          <w:tcPr>
            <w:tcW w:w="3424" w:type="dxa"/>
          </w:tcPr>
          <w:p w:rsidR="00AA6E2D" w:rsidRPr="0082340B" w:rsidRDefault="00AA6E2D" w:rsidP="0082340B">
            <w:pPr>
              <w:pStyle w:val="ListParagraph"/>
              <w:numPr>
                <w:ilvl w:val="0"/>
                <w:numId w:val="5"/>
              </w:numPr>
              <w:rPr>
                <w:sz w:val="20"/>
                <w:szCs w:val="20"/>
              </w:rPr>
            </w:pPr>
            <w:r w:rsidRPr="0082340B">
              <w:rPr>
                <w:sz w:val="20"/>
                <w:szCs w:val="20"/>
                <w:lang w:val="en"/>
              </w:rPr>
              <w:t xml:space="preserve">Motor </w:t>
            </w:r>
            <w:r w:rsidRPr="0082340B">
              <w:rPr>
                <w:rStyle w:val="pnote"/>
                <w:sz w:val="20"/>
                <w:szCs w:val="20"/>
                <w:lang w:val="en"/>
              </w:rPr>
              <w:t>vehicle</w:t>
            </w:r>
            <w:r w:rsidRPr="0082340B">
              <w:rPr>
                <w:sz w:val="20"/>
                <w:szCs w:val="20"/>
                <w:lang w:val="en"/>
              </w:rPr>
              <w:t xml:space="preserve"> </w:t>
            </w:r>
            <w:r w:rsidRPr="0082340B">
              <w:rPr>
                <w:rStyle w:val="pnote"/>
                <w:sz w:val="20"/>
                <w:szCs w:val="20"/>
                <w:lang w:val="en"/>
              </w:rPr>
              <w:t>exception</w:t>
            </w:r>
            <w:r w:rsidRPr="0082340B">
              <w:rPr>
                <w:sz w:val="20"/>
                <w:szCs w:val="20"/>
                <w:lang w:val="en"/>
              </w:rPr>
              <w:t xml:space="preserve"> to </w:t>
            </w:r>
            <w:r w:rsidRPr="0082340B">
              <w:rPr>
                <w:rStyle w:val="sh1231854573"/>
                <w:sz w:val="20"/>
                <w:szCs w:val="20"/>
                <w:lang w:val="en"/>
              </w:rPr>
              <w:t>sovereign immunity</w:t>
            </w:r>
            <w:r w:rsidRPr="0082340B">
              <w:rPr>
                <w:sz w:val="20"/>
                <w:szCs w:val="20"/>
                <w:lang w:val="en"/>
              </w:rPr>
              <w:t xml:space="preserve"> applied to waive Southeastern Pennsylvania Transportation Authority’s </w:t>
            </w:r>
            <w:r w:rsidRPr="0082340B">
              <w:rPr>
                <w:rStyle w:val="pnote"/>
                <w:sz w:val="20"/>
                <w:szCs w:val="20"/>
                <w:lang w:val="en"/>
              </w:rPr>
              <w:t>immunity</w:t>
            </w:r>
            <w:r w:rsidRPr="0082340B">
              <w:rPr>
                <w:sz w:val="20"/>
                <w:szCs w:val="20"/>
                <w:lang w:val="en"/>
              </w:rPr>
              <w:t xml:space="preserve"> with respect not only to negligence of subway train driver, in striking passenger who fell onto rails, but also with respect to alleged negligence of subway cashier for his failure to assist passenger whose attack on subway platform precipitated his fall onto rails</w:t>
            </w:r>
          </w:p>
        </w:tc>
      </w:tr>
    </w:tbl>
    <w:p w:rsidR="00A14B1C" w:rsidRPr="00047BBA" w:rsidRDefault="00A14B1C" w:rsidP="001205A8">
      <w:pPr>
        <w:spacing w:after="0"/>
      </w:pPr>
    </w:p>
    <w:sectPr w:rsidR="00A14B1C" w:rsidRPr="00047BBA" w:rsidSect="00A14B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0672"/>
    <w:multiLevelType w:val="hybridMultilevel"/>
    <w:tmpl w:val="DFC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478C8"/>
    <w:multiLevelType w:val="hybridMultilevel"/>
    <w:tmpl w:val="B54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15FB6"/>
    <w:multiLevelType w:val="hybridMultilevel"/>
    <w:tmpl w:val="46F8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822A7"/>
    <w:multiLevelType w:val="hybridMultilevel"/>
    <w:tmpl w:val="8BC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F75C4"/>
    <w:multiLevelType w:val="hybridMultilevel"/>
    <w:tmpl w:val="81F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F00BF"/>
    <w:multiLevelType w:val="hybridMultilevel"/>
    <w:tmpl w:val="A0FC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A8"/>
    <w:rsid w:val="00047BBA"/>
    <w:rsid w:val="001205A8"/>
    <w:rsid w:val="00127E3E"/>
    <w:rsid w:val="00215742"/>
    <w:rsid w:val="00227C1A"/>
    <w:rsid w:val="00323773"/>
    <w:rsid w:val="003967B8"/>
    <w:rsid w:val="00456D28"/>
    <w:rsid w:val="00545E80"/>
    <w:rsid w:val="007F7183"/>
    <w:rsid w:val="0082340B"/>
    <w:rsid w:val="00887258"/>
    <w:rsid w:val="00A120C5"/>
    <w:rsid w:val="00A14B1C"/>
    <w:rsid w:val="00AA6E2D"/>
    <w:rsid w:val="00B948E2"/>
    <w:rsid w:val="00BA1DF0"/>
    <w:rsid w:val="00BF3DEF"/>
    <w:rsid w:val="00C34389"/>
    <w:rsid w:val="00C65DA1"/>
    <w:rsid w:val="00CB05BA"/>
    <w:rsid w:val="00CE34B0"/>
    <w:rsid w:val="00D93187"/>
    <w:rsid w:val="00E01BE6"/>
    <w:rsid w:val="00ED2F87"/>
    <w:rsid w:val="00EF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258"/>
    <w:pPr>
      <w:ind w:left="720"/>
      <w:contextualSpacing/>
    </w:pPr>
  </w:style>
  <w:style w:type="character" w:customStyle="1" w:styleId="pnote">
    <w:name w:val="pnote"/>
    <w:basedOn w:val="DefaultParagraphFont"/>
    <w:rsid w:val="0082340B"/>
  </w:style>
  <w:style w:type="character" w:customStyle="1" w:styleId="sh1231854573">
    <w:name w:val="sh_1231854573"/>
    <w:basedOn w:val="DefaultParagraphFont"/>
    <w:rsid w:val="0082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258"/>
    <w:pPr>
      <w:ind w:left="720"/>
      <w:contextualSpacing/>
    </w:pPr>
  </w:style>
  <w:style w:type="character" w:customStyle="1" w:styleId="pnote">
    <w:name w:val="pnote"/>
    <w:basedOn w:val="DefaultParagraphFont"/>
    <w:rsid w:val="0082340B"/>
  </w:style>
  <w:style w:type="character" w:customStyle="1" w:styleId="sh1231854573">
    <w:name w:val="sh_1231854573"/>
    <w:basedOn w:val="DefaultParagraphFont"/>
    <w:rsid w:val="0082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3012">
      <w:bodyDiv w:val="1"/>
      <w:marLeft w:val="0"/>
      <w:marRight w:val="0"/>
      <w:marTop w:val="0"/>
      <w:marBottom w:val="0"/>
      <w:divBdr>
        <w:top w:val="none" w:sz="0" w:space="0" w:color="auto"/>
        <w:left w:val="none" w:sz="0" w:space="0" w:color="auto"/>
        <w:bottom w:val="none" w:sz="0" w:space="0" w:color="auto"/>
        <w:right w:val="none" w:sz="0" w:space="0" w:color="auto"/>
      </w:divBdr>
      <w:divsChild>
        <w:div w:id="359622603">
          <w:marLeft w:val="-3180"/>
          <w:marRight w:val="0"/>
          <w:marTop w:val="0"/>
          <w:marBottom w:val="0"/>
          <w:divBdr>
            <w:top w:val="none" w:sz="0" w:space="0" w:color="auto"/>
            <w:left w:val="none" w:sz="0" w:space="0" w:color="auto"/>
            <w:bottom w:val="none" w:sz="0" w:space="0" w:color="auto"/>
            <w:right w:val="none" w:sz="0" w:space="0" w:color="auto"/>
          </w:divBdr>
          <w:divsChild>
            <w:div w:id="395056954">
              <w:marLeft w:val="0"/>
              <w:marRight w:val="0"/>
              <w:marTop w:val="0"/>
              <w:marBottom w:val="0"/>
              <w:divBdr>
                <w:top w:val="none" w:sz="0" w:space="0" w:color="auto"/>
                <w:left w:val="none" w:sz="0" w:space="0" w:color="auto"/>
                <w:bottom w:val="none" w:sz="0" w:space="0" w:color="auto"/>
                <w:right w:val="none" w:sz="0" w:space="0" w:color="auto"/>
              </w:divBdr>
              <w:divsChild>
                <w:div w:id="1907758812">
                  <w:marLeft w:val="0"/>
                  <w:marRight w:val="0"/>
                  <w:marTop w:val="0"/>
                  <w:marBottom w:val="0"/>
                  <w:divBdr>
                    <w:top w:val="none" w:sz="0" w:space="0" w:color="auto"/>
                    <w:left w:val="none" w:sz="0" w:space="0" w:color="auto"/>
                    <w:bottom w:val="none" w:sz="0" w:space="0" w:color="auto"/>
                    <w:right w:val="none" w:sz="0" w:space="0" w:color="auto"/>
                  </w:divBdr>
                  <w:divsChild>
                    <w:div w:id="1677608811">
                      <w:marLeft w:val="0"/>
                      <w:marRight w:val="0"/>
                      <w:marTop w:val="0"/>
                      <w:marBottom w:val="0"/>
                      <w:divBdr>
                        <w:top w:val="none" w:sz="0" w:space="0" w:color="auto"/>
                        <w:left w:val="none" w:sz="0" w:space="0" w:color="auto"/>
                        <w:bottom w:val="none" w:sz="0" w:space="0" w:color="auto"/>
                        <w:right w:val="none" w:sz="0" w:space="0" w:color="auto"/>
                      </w:divBdr>
                      <w:divsChild>
                        <w:div w:id="421025500">
                          <w:marLeft w:val="0"/>
                          <w:marRight w:val="0"/>
                          <w:marTop w:val="0"/>
                          <w:marBottom w:val="0"/>
                          <w:divBdr>
                            <w:top w:val="none" w:sz="0" w:space="0" w:color="auto"/>
                            <w:left w:val="none" w:sz="0" w:space="0" w:color="auto"/>
                            <w:bottom w:val="none" w:sz="0" w:space="0" w:color="auto"/>
                            <w:right w:val="none" w:sz="0" w:space="0" w:color="auto"/>
                          </w:divBdr>
                          <w:divsChild>
                            <w:div w:id="1303465646">
                              <w:marLeft w:val="0"/>
                              <w:marRight w:val="0"/>
                              <w:marTop w:val="0"/>
                              <w:marBottom w:val="0"/>
                              <w:divBdr>
                                <w:top w:val="none" w:sz="0" w:space="0" w:color="auto"/>
                                <w:left w:val="none" w:sz="0" w:space="0" w:color="auto"/>
                                <w:bottom w:val="none" w:sz="0" w:space="0" w:color="auto"/>
                                <w:right w:val="none" w:sz="0" w:space="0" w:color="auto"/>
                              </w:divBdr>
                              <w:divsChild>
                                <w:div w:id="2039817334">
                                  <w:marLeft w:val="0"/>
                                  <w:marRight w:val="0"/>
                                  <w:marTop w:val="0"/>
                                  <w:marBottom w:val="0"/>
                                  <w:divBdr>
                                    <w:top w:val="none" w:sz="0" w:space="0" w:color="auto"/>
                                    <w:left w:val="none" w:sz="0" w:space="0" w:color="auto"/>
                                    <w:bottom w:val="none" w:sz="0" w:space="0" w:color="auto"/>
                                    <w:right w:val="none" w:sz="0" w:space="0" w:color="auto"/>
                                  </w:divBdr>
                                  <w:divsChild>
                                    <w:div w:id="2773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901F-91FA-462F-9C0A-1C314879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Turnpike Commission</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Albert</dc:creator>
  <cp:lastModifiedBy>Pennsylvania</cp:lastModifiedBy>
  <cp:revision>2</cp:revision>
  <dcterms:created xsi:type="dcterms:W3CDTF">2014-05-14T18:39:00Z</dcterms:created>
  <dcterms:modified xsi:type="dcterms:W3CDTF">2014-05-14T18:39:00Z</dcterms:modified>
</cp:coreProperties>
</file>