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1C00DA" w:rsidP="001C00DA" w14:paraId="1D1E7EC8" w14:textId="519FE5C1">
      <w:pPr>
        <w:spacing w:line="278" w:lineRule="auto"/>
        <w:jc w:val="center"/>
        <w:rPr>
          <w:u w:val="single"/>
        </w:rPr>
      </w:pPr>
      <w:bookmarkStart w:id="0" w:name="_GoBack"/>
      <w:bookmarkEnd w:id="0"/>
      <w:r>
        <w:rPr>
          <w:u w:val="single"/>
        </w:rPr>
        <w:t>GARIBALDI INN OF COURT</w:t>
      </w:r>
    </w:p>
    <w:p w:rsidR="001C00DA" w:rsidRPr="00D67B45" w:rsidP="001C00DA" w14:paraId="2AC2AFD7" w14:textId="7E339D17">
      <w:pPr>
        <w:spacing w:line="278" w:lineRule="auto"/>
      </w:pPr>
      <w:r w:rsidRPr="00D67B45">
        <w:rPr>
          <w:u w:val="single"/>
        </w:rPr>
        <w:t>October 10, 2024</w:t>
      </w:r>
      <w:r w:rsidRPr="00D67B45">
        <w:t xml:space="preserve">   </w:t>
      </w:r>
      <w:r w:rsidRPr="00D67B45">
        <w:rPr>
          <w:b/>
          <w:bCs/>
        </w:rPr>
        <w:t>Ethical Issues for Family and Business Mediators – A Wild Ride in a Simulated Case</w:t>
      </w:r>
    </w:p>
    <w:p w:rsidR="001C00DA" w:rsidP="001C00DA" w14:paraId="09E09B22" w14:textId="77777777">
      <w:r w:rsidRPr="00D67B45">
        <w:t>How many times have you said “you cannot make this stuff up” when discussing one of your cases?  It is often these cases, with unique sets of facts, that place mediators in awkward positions that can lead to ethical dilemmas.   Participate in a lively debate about the application of RPCs and mediation standards as we “showcase” quandaries that give rise to ethical questions and multiple mediator dilemmas.</w:t>
      </w:r>
    </w:p>
    <w:p w:rsidR="001C00DA" w:rsidRPr="001C00DA" w:rsidP="001C00DA" w14:paraId="588C7861" w14:textId="57F55F4E">
      <w:pPr>
        <w:jc w:val="center"/>
        <w:rPr>
          <w:b/>
          <w:bCs/>
          <w:sz w:val="24"/>
          <w:szCs w:val="24"/>
          <w:u w:val="single"/>
        </w:rPr>
      </w:pPr>
      <w:r w:rsidRPr="001C00DA">
        <w:rPr>
          <w:b/>
          <w:bCs/>
          <w:sz w:val="24"/>
          <w:szCs w:val="24"/>
          <w:u w:val="single"/>
        </w:rPr>
        <w:t>APPLICABLE STANDARDS AND RULES for DISCUSSIO</w:t>
      </w:r>
      <w:r>
        <w:rPr>
          <w:b/>
          <w:bCs/>
          <w:sz w:val="24"/>
          <w:szCs w:val="24"/>
          <w:u w:val="single"/>
        </w:rPr>
        <w:t>N</w:t>
      </w:r>
    </w:p>
    <w:p w:rsidR="001C00DA" w:rsidP="001C00DA" w14:paraId="222F1B42" w14:textId="77777777">
      <w:pPr>
        <w:jc w:val="center"/>
        <w:rPr>
          <w:rFonts w:cs="Arial"/>
          <w:b/>
          <w:bCs/>
          <w:sz w:val="24"/>
          <w:szCs w:val="24"/>
        </w:rPr>
      </w:pPr>
    </w:p>
    <w:p w:rsidR="001C00DA" w:rsidP="001C00DA" w14:paraId="13291977" w14:textId="77777777">
      <w:pPr>
        <w:jc w:val="center"/>
        <w:rPr>
          <w:rFonts w:cs="Arial"/>
          <w:b/>
          <w:bCs/>
          <w:sz w:val="24"/>
          <w:szCs w:val="24"/>
        </w:rPr>
      </w:pPr>
    </w:p>
    <w:p w:rsidR="001C00DA" w:rsidRPr="001C00DA" w:rsidP="001C00DA" w14:paraId="27C9769C" w14:textId="04357DD5">
      <w:pPr>
        <w:jc w:val="center"/>
        <w:rPr>
          <w:rFonts w:cs="Arial"/>
          <w:b/>
          <w:bCs/>
          <w:sz w:val="32"/>
          <w:szCs w:val="32"/>
        </w:rPr>
      </w:pPr>
      <w:r w:rsidRPr="001C00DA">
        <w:rPr>
          <w:rFonts w:cs="Arial"/>
          <w:b/>
          <w:bCs/>
          <w:sz w:val="32"/>
          <w:szCs w:val="32"/>
        </w:rPr>
        <w:t>RULES OF PROFESSIONAL CONDUCT</w:t>
      </w:r>
    </w:p>
    <w:p w:rsidR="001C00DA" w:rsidRPr="00FB3BE2" w:rsidP="001C00DA" w14:paraId="423AF00D" w14:textId="3A2E92FB">
      <w:pPr>
        <w:rPr>
          <w:rFonts w:cs="Arial"/>
          <w:b/>
          <w:bCs/>
          <w:sz w:val="24"/>
          <w:szCs w:val="24"/>
        </w:rPr>
      </w:pPr>
      <w:r w:rsidRPr="00FB3BE2">
        <w:rPr>
          <w:rFonts w:cs="Arial"/>
          <w:b/>
          <w:bCs/>
          <w:sz w:val="24"/>
          <w:szCs w:val="24"/>
        </w:rPr>
        <w:t>RPC 1.6</w:t>
      </w:r>
      <w:r w:rsidRPr="00FB3BE2">
        <w:rPr>
          <w:rFonts w:cs="Arial"/>
          <w:b/>
          <w:bCs/>
          <w:sz w:val="24"/>
          <w:szCs w:val="24"/>
        </w:rPr>
        <w:tab/>
        <w:t xml:space="preserve">Confidentiality of Information </w:t>
      </w:r>
    </w:p>
    <w:p w:rsidR="001C00DA" w:rsidRPr="00FB3BE2" w:rsidP="001C00DA" w14:paraId="6A17E7F5" w14:textId="77777777">
      <w:pPr>
        <w:ind w:firstLine="720"/>
        <w:rPr>
          <w:rFonts w:cs="Arial"/>
          <w:sz w:val="24"/>
          <w:szCs w:val="24"/>
        </w:rPr>
      </w:pPr>
      <w:r w:rsidRPr="00FB3BE2">
        <w:rPr>
          <w:rFonts w:cs="Arial"/>
          <w:b/>
          <w:bCs/>
          <w:sz w:val="24"/>
          <w:szCs w:val="24"/>
        </w:rPr>
        <w:t>(a)</w:t>
      </w:r>
      <w:r w:rsidRPr="00FB3BE2">
        <w:rPr>
          <w:rFonts w:cs="Arial"/>
          <w:sz w:val="24"/>
          <w:szCs w:val="24"/>
        </w:rPr>
        <w:t xml:space="preserve"> A lawyer shall not reveal information relating to representation of a client unless the client consents after consultation, except for (1) disclosures that are impliedly authorized in order to carry out the representation, (2) disclosures of information that is generally known, and (3) as stated in paragraphs (b), (c), and (d).</w:t>
      </w:r>
    </w:p>
    <w:p w:rsidR="001C00DA" w:rsidRPr="00FB3BE2" w:rsidP="001C00DA" w14:paraId="322A8C8E" w14:textId="77777777">
      <w:pPr>
        <w:ind w:firstLine="720"/>
        <w:rPr>
          <w:rFonts w:cs="Arial"/>
          <w:sz w:val="24"/>
          <w:szCs w:val="24"/>
        </w:rPr>
      </w:pPr>
      <w:r w:rsidRPr="00FB3BE2">
        <w:rPr>
          <w:rFonts w:cs="Arial"/>
          <w:b/>
          <w:bCs/>
          <w:sz w:val="24"/>
          <w:szCs w:val="24"/>
        </w:rPr>
        <w:t>(b)</w:t>
      </w:r>
      <w:r w:rsidRPr="00FB3BE2">
        <w:rPr>
          <w:rFonts w:cs="Arial"/>
          <w:sz w:val="24"/>
          <w:szCs w:val="24"/>
        </w:rPr>
        <w:t xml:space="preserve"> A lawyer shall reveal such information to the proper authorities, as soon as, and to the extent the lawyer reasonably believes necessary, to prevent the client or another person:</w:t>
      </w:r>
    </w:p>
    <w:p w:rsidR="001C00DA" w:rsidRPr="00FB3BE2" w:rsidP="001C00DA" w14:paraId="255EE24E" w14:textId="77777777">
      <w:pPr>
        <w:ind w:left="720" w:firstLine="720"/>
        <w:rPr>
          <w:rFonts w:cs="Arial"/>
          <w:sz w:val="24"/>
          <w:szCs w:val="24"/>
        </w:rPr>
      </w:pPr>
      <w:r w:rsidRPr="00FB3BE2">
        <w:rPr>
          <w:rFonts w:cs="Arial"/>
          <w:b/>
          <w:bCs/>
          <w:sz w:val="24"/>
          <w:szCs w:val="24"/>
        </w:rPr>
        <w:t>(1)</w:t>
      </w:r>
      <w:r w:rsidRPr="00FB3BE2">
        <w:rPr>
          <w:rFonts w:cs="Arial"/>
          <w:sz w:val="24"/>
          <w:szCs w:val="24"/>
        </w:rPr>
        <w:t xml:space="preserve"> from committing a criminal, illegal or fraudulent act that the lawyer reasonably believes is likely to result in death or substantial bodily harm or substantial injury to the financial interest or property of another; or</w:t>
      </w:r>
    </w:p>
    <w:p w:rsidR="001C00DA" w:rsidRPr="00FB3BE2" w:rsidP="001C00DA" w14:paraId="441C7F16" w14:textId="77777777">
      <w:pPr>
        <w:ind w:left="720" w:firstLine="720"/>
        <w:rPr>
          <w:rFonts w:cs="Arial"/>
          <w:sz w:val="24"/>
          <w:szCs w:val="24"/>
        </w:rPr>
      </w:pPr>
      <w:r w:rsidRPr="00FB3BE2">
        <w:rPr>
          <w:rFonts w:cs="Arial"/>
          <w:b/>
          <w:bCs/>
          <w:sz w:val="24"/>
          <w:szCs w:val="24"/>
        </w:rPr>
        <w:t>(2)</w:t>
      </w:r>
      <w:r w:rsidRPr="00FB3BE2">
        <w:rPr>
          <w:rFonts w:cs="Arial"/>
          <w:sz w:val="24"/>
          <w:szCs w:val="24"/>
        </w:rPr>
        <w:t xml:space="preserve"> from committing a criminal, illegal or fraudulent act that the lawyer reasonably believes is likely to perpetrate a fraud upon a tribunal.</w:t>
      </w:r>
    </w:p>
    <w:p w:rsidR="001C00DA" w:rsidRPr="00FB3BE2" w:rsidP="001C00DA" w14:paraId="1444440A" w14:textId="77777777">
      <w:pPr>
        <w:ind w:firstLine="720"/>
        <w:rPr>
          <w:rFonts w:cs="Arial"/>
          <w:sz w:val="24"/>
          <w:szCs w:val="24"/>
        </w:rPr>
      </w:pPr>
      <w:r w:rsidRPr="00FB3BE2">
        <w:rPr>
          <w:rFonts w:cs="Arial"/>
          <w:b/>
          <w:bCs/>
          <w:sz w:val="24"/>
          <w:szCs w:val="24"/>
        </w:rPr>
        <w:t>(c)</w:t>
      </w:r>
      <w:r w:rsidRPr="00FB3BE2">
        <w:rPr>
          <w:rFonts w:cs="Arial"/>
          <w:sz w:val="24"/>
          <w:szCs w:val="24"/>
        </w:rPr>
        <w:t xml:space="preserve"> If a lawyer reveals information pursuant to RPC 1.6(b), the lawyer also may reveal the information to the person threatened to the extent the lawyer reasonably believes is necessary to protect that person from death, substantial bodily harm, substantial financial injury, or substantial property loss.</w:t>
      </w:r>
    </w:p>
    <w:p w:rsidR="001C00DA" w:rsidRPr="00FB3BE2" w:rsidP="001C00DA" w14:paraId="19F2ED55" w14:textId="77777777">
      <w:pPr>
        <w:ind w:firstLine="720"/>
        <w:rPr>
          <w:rFonts w:cs="Arial"/>
          <w:sz w:val="24"/>
          <w:szCs w:val="24"/>
        </w:rPr>
      </w:pPr>
      <w:r w:rsidRPr="00FB3BE2">
        <w:rPr>
          <w:rFonts w:cs="Arial"/>
          <w:b/>
          <w:bCs/>
          <w:sz w:val="24"/>
          <w:szCs w:val="24"/>
        </w:rPr>
        <w:t>(d)</w:t>
      </w:r>
      <w:r w:rsidRPr="00FB3BE2">
        <w:rPr>
          <w:rFonts w:cs="Arial"/>
          <w:sz w:val="24"/>
          <w:szCs w:val="24"/>
        </w:rPr>
        <w:t xml:space="preserve"> A lawyer may reveal such information to the extent the lawyer reasonably believes necessary:</w:t>
      </w:r>
    </w:p>
    <w:p w:rsidR="001C00DA" w:rsidRPr="00FB3BE2" w:rsidP="001C00DA" w14:paraId="1787841D" w14:textId="77777777">
      <w:pPr>
        <w:ind w:left="720" w:firstLine="720"/>
        <w:rPr>
          <w:rFonts w:cs="Arial"/>
          <w:sz w:val="24"/>
          <w:szCs w:val="24"/>
        </w:rPr>
      </w:pPr>
      <w:r w:rsidRPr="00FB3BE2">
        <w:rPr>
          <w:rFonts w:cs="Arial"/>
          <w:b/>
          <w:bCs/>
          <w:sz w:val="24"/>
          <w:szCs w:val="24"/>
        </w:rPr>
        <w:t>(1)</w:t>
      </w:r>
      <w:r w:rsidRPr="00FB3BE2">
        <w:rPr>
          <w:rFonts w:cs="Arial"/>
          <w:sz w:val="24"/>
          <w:szCs w:val="24"/>
        </w:rPr>
        <w:t xml:space="preserve"> to rectify the consequences of a client's criminal, illegal or fraudulent act in the furtherance of which the lawyer's services had been used;</w:t>
      </w:r>
    </w:p>
    <w:p w:rsidR="001C00DA" w:rsidRPr="00FB3BE2" w:rsidP="001C00DA" w14:paraId="44E402C9" w14:textId="77777777">
      <w:pPr>
        <w:ind w:left="720" w:firstLine="720"/>
        <w:rPr>
          <w:rFonts w:cs="Arial"/>
          <w:sz w:val="24"/>
          <w:szCs w:val="24"/>
        </w:rPr>
      </w:pPr>
      <w:r w:rsidRPr="00FB3BE2">
        <w:rPr>
          <w:rFonts w:cs="Arial"/>
          <w:b/>
          <w:bCs/>
          <w:sz w:val="24"/>
          <w:szCs w:val="24"/>
        </w:rPr>
        <w:t>(2)</w:t>
      </w:r>
      <w:r w:rsidRPr="00FB3BE2">
        <w:rPr>
          <w:rFonts w:cs="Arial"/>
          <w:sz w:val="24"/>
          <w:szCs w:val="24"/>
        </w:rPr>
        <w:t xml:space="preserve"> to establish a claim or defense on behalf of the lawyer in a controversy between the lawyer and the client, or to establish a defense to a criminal charge, </w:t>
      </w:r>
      <w:r w:rsidRPr="00FB3BE2">
        <w:rPr>
          <w:rFonts w:cs="Arial"/>
          <w:sz w:val="24"/>
          <w:szCs w:val="24"/>
        </w:rPr>
        <w:t>civil claim or disciplinary complaint against the lawyer based upon the conduct in which the client was involved; or</w:t>
      </w:r>
    </w:p>
    <w:p w:rsidR="001C00DA" w:rsidRPr="00FB3BE2" w:rsidP="001C00DA" w14:paraId="7A4B9FF9" w14:textId="77777777">
      <w:pPr>
        <w:ind w:left="720" w:firstLine="720"/>
        <w:rPr>
          <w:rFonts w:cs="Arial"/>
          <w:sz w:val="24"/>
          <w:szCs w:val="24"/>
        </w:rPr>
      </w:pPr>
      <w:r w:rsidRPr="00FB3BE2">
        <w:rPr>
          <w:rFonts w:cs="Arial"/>
          <w:b/>
          <w:bCs/>
          <w:sz w:val="24"/>
          <w:szCs w:val="24"/>
        </w:rPr>
        <w:t>(3)</w:t>
      </w:r>
      <w:r w:rsidRPr="00FB3BE2">
        <w:rPr>
          <w:rFonts w:cs="Arial"/>
          <w:sz w:val="24"/>
          <w:szCs w:val="24"/>
        </w:rPr>
        <w:t xml:space="preserve"> to prevent the client from causing death or substantial bodily harm to himself or herself;</w:t>
      </w:r>
    </w:p>
    <w:p w:rsidR="001C00DA" w:rsidRPr="00FB3BE2" w:rsidP="001C00DA" w14:paraId="4245142F" w14:textId="77777777">
      <w:pPr>
        <w:ind w:left="720" w:firstLine="720"/>
        <w:rPr>
          <w:rFonts w:cs="Arial"/>
          <w:sz w:val="24"/>
          <w:szCs w:val="24"/>
        </w:rPr>
      </w:pPr>
      <w:r w:rsidRPr="00FB3BE2">
        <w:rPr>
          <w:rFonts w:cs="Arial"/>
          <w:b/>
          <w:bCs/>
          <w:sz w:val="24"/>
          <w:szCs w:val="24"/>
        </w:rPr>
        <w:t>(4)</w:t>
      </w:r>
      <w:r w:rsidRPr="00FB3BE2">
        <w:rPr>
          <w:rFonts w:cs="Arial"/>
          <w:sz w:val="24"/>
          <w:szCs w:val="24"/>
        </w:rPr>
        <w:t xml:space="preserve"> to comply with other law; or</w:t>
      </w:r>
    </w:p>
    <w:p w:rsidR="001C00DA" w:rsidRPr="00FB3BE2" w:rsidP="001C00DA" w14:paraId="6F242B4F" w14:textId="77777777">
      <w:pPr>
        <w:ind w:left="720" w:firstLine="720"/>
        <w:rPr>
          <w:rFonts w:cs="Arial"/>
          <w:sz w:val="24"/>
          <w:szCs w:val="24"/>
        </w:rPr>
      </w:pPr>
      <w:r w:rsidRPr="00FB3BE2">
        <w:rPr>
          <w:rFonts w:cs="Arial"/>
          <w:b/>
          <w:bCs/>
          <w:sz w:val="24"/>
          <w:szCs w:val="24"/>
        </w:rPr>
        <w:t>(5)</w:t>
      </w:r>
      <w:r w:rsidRPr="00FB3BE2">
        <w:rPr>
          <w:rFonts w:cs="Arial"/>
          <w:sz w:val="24"/>
          <w:szCs w:val="24"/>
        </w:rPr>
        <w:t xml:space="preserve"> to detect and resolve conflicts of interest arising from the lawyer’s change of employment or from changes in the composition or ownership, or resulting from the sale of a firm, but only if the revealed information would not compromise the attorney</w:t>
      </w:r>
      <w:r>
        <w:rPr>
          <w:rFonts w:cs="Arial"/>
          <w:sz w:val="24"/>
          <w:szCs w:val="24"/>
        </w:rPr>
        <w:t xml:space="preserve">:  </w:t>
      </w:r>
      <w:r w:rsidRPr="00FB3BE2">
        <w:rPr>
          <w:rFonts w:cs="Arial"/>
          <w:sz w:val="24"/>
          <w:szCs w:val="24"/>
        </w:rPr>
        <w:t>client privilege or otherwise prejudice the client. Any information so disclosed may be used or further disclosed only to the extent necessary to detect and resolve conflicts of interest.</w:t>
      </w:r>
    </w:p>
    <w:p w:rsidR="001C00DA" w:rsidRPr="00FB3BE2" w:rsidP="001C00DA" w14:paraId="599E668A" w14:textId="77777777">
      <w:pPr>
        <w:ind w:firstLine="720"/>
        <w:rPr>
          <w:rFonts w:cs="Arial"/>
          <w:sz w:val="24"/>
          <w:szCs w:val="24"/>
        </w:rPr>
      </w:pPr>
      <w:r w:rsidRPr="00FB3BE2">
        <w:rPr>
          <w:rFonts w:cs="Arial"/>
          <w:b/>
          <w:bCs/>
          <w:sz w:val="24"/>
          <w:szCs w:val="24"/>
        </w:rPr>
        <w:t>(e)</w:t>
      </w:r>
      <w:r w:rsidRPr="00FB3BE2">
        <w:rPr>
          <w:rFonts w:cs="Arial"/>
          <w:sz w:val="24"/>
          <w:szCs w:val="24"/>
        </w:rPr>
        <w:t xml:space="preserve"> Reasonable belief for purposes of RPC 1.6 is the belief or conclusion of a reasonable lawyer that is based upon information that has some foundation in fact and constitutes prima facie evidence of the matters referred to in subsections (b), (c), or (d).</w:t>
      </w:r>
      <w:r w:rsidRPr="00FB3BE2">
        <w:rPr>
          <w:rFonts w:cs="Arial"/>
          <w:sz w:val="24"/>
          <w:szCs w:val="24"/>
        </w:rPr>
        <w:tab/>
        <w:t> </w:t>
      </w:r>
    </w:p>
    <w:p w:rsidR="001C00DA" w:rsidRPr="00FB3BE2" w:rsidP="001C00DA" w14:paraId="2CD0AB41" w14:textId="77777777">
      <w:pPr>
        <w:ind w:firstLine="720"/>
        <w:rPr>
          <w:rFonts w:cs="Arial"/>
          <w:sz w:val="24"/>
          <w:szCs w:val="24"/>
        </w:rPr>
      </w:pPr>
      <w:r w:rsidRPr="00FB3BE2">
        <w:rPr>
          <w:rFonts w:cs="Arial"/>
          <w:b/>
          <w:bCs/>
          <w:sz w:val="24"/>
          <w:szCs w:val="24"/>
        </w:rPr>
        <w:t>(f)</w:t>
      </w:r>
      <w:r w:rsidRPr="00FB3BE2">
        <w:rPr>
          <w:rFonts w:cs="Arial"/>
          <w:sz w:val="24"/>
          <w:szCs w:val="24"/>
        </w:rPr>
        <w:t xml:space="preserve"> A lawyer shall make reasonable efforts to prevent the inadvertent or unauthorized disclosure of, or unauthorized access to, information relating to the representation of a client.</w:t>
      </w:r>
    </w:p>
    <w:p w:rsidR="001C00DA" w:rsidRPr="00FB3BE2" w:rsidP="001C00DA" w14:paraId="5C469E66" w14:textId="77777777">
      <w:pPr>
        <w:rPr>
          <w:rFonts w:cs="Arial"/>
          <w:b/>
          <w:bCs/>
          <w:sz w:val="24"/>
          <w:szCs w:val="24"/>
        </w:rPr>
      </w:pPr>
      <w:r w:rsidRPr="00FB3BE2">
        <w:rPr>
          <w:rFonts w:cs="Arial"/>
          <w:b/>
          <w:bCs/>
          <w:sz w:val="24"/>
          <w:szCs w:val="24"/>
        </w:rPr>
        <w:t>Official Comment (August 1, 2016)</w:t>
      </w:r>
    </w:p>
    <w:p w:rsidR="001C00DA" w:rsidRPr="00FB3BE2" w:rsidP="001C00DA" w14:paraId="1C379B54" w14:textId="77777777">
      <w:pPr>
        <w:rPr>
          <w:rFonts w:cs="Arial"/>
          <w:sz w:val="24"/>
          <w:szCs w:val="24"/>
        </w:rPr>
      </w:pPr>
      <w:r w:rsidRPr="00FB3BE2">
        <w:rPr>
          <w:rFonts w:cs="Arial"/>
          <w:sz w:val="24"/>
          <w:szCs w:val="24"/>
        </w:rPr>
        <w:t>Paragraph (d)(5) recognizes that lawyers in different firms may need to disclose limited information to each other to detect and resolve conflicts of interest, such as when a lawyer is considering an association with another firm, two or more firms are considering merger, or a lawyer is considering the purchase of a law practice. Under these circumstances, lawyers and law firms are permitted to disclose limited information, but only once substantive discussions regarding the new relationship have occurred. Any such disclosure should ordinarily include no more than the identity of the persons and entities involved in a matter, a brief summary of the general issues involved, and information about whether the matter has terminated. Even this limited information, however, should be disclosed only to the extent reasonably necessary to detect and resolve conflicts of interest that might arise from the possible new relationship. Moreover, the disclosure of any information is prohibited if it would compromise the attorney</w:t>
      </w:r>
      <w:r>
        <w:rPr>
          <w:rFonts w:cs="Arial"/>
          <w:sz w:val="24"/>
          <w:szCs w:val="24"/>
        </w:rPr>
        <w:t xml:space="preserve">:  </w:t>
      </w:r>
      <w:r w:rsidRPr="00FB3BE2">
        <w:rPr>
          <w:rFonts w:cs="Arial"/>
          <w:sz w:val="24"/>
          <w:szCs w:val="24"/>
        </w:rPr>
        <w:t>client privilege or otherwise prejudice the client (e.g., the fact that a corporate client is seeking advice on a corporate takeover that has not been publicly announced; that a person has consulted a lawyer about the possibility of divorce before the person’s intentions are known to the person’s spouse; or that a person has consulted a lawyer about a criminal investigation that has not led to a public charge). Under those circumstances, paragraph (a) prohibits disclosure unless the client or former client gives informed written consent. A lawyer’s fiduciary duty to the lawyer’s firm may also govern a lawyer’s conduct when exploring an association with another firm and is beyond the scope of these Rules.</w:t>
      </w:r>
    </w:p>
    <w:p w:rsidR="001C00DA" w:rsidRPr="00FB3BE2" w:rsidP="001C00DA" w14:paraId="1C4EAB0D" w14:textId="77777777">
      <w:pPr>
        <w:rPr>
          <w:rFonts w:cs="Arial"/>
          <w:sz w:val="24"/>
          <w:szCs w:val="24"/>
        </w:rPr>
      </w:pPr>
      <w:r w:rsidRPr="00FB3BE2">
        <w:rPr>
          <w:rFonts w:cs="Arial"/>
          <w:sz w:val="24"/>
          <w:szCs w:val="24"/>
        </w:rPr>
        <w:t>Any information disclosed pursuant to paragraph (d)(5) may be used or further disclosed only to the extent necessary to detect and resolve conflicts of interest. Paragraph (d)(5) does not restrict the use of information acquired by means independent of any disclosure pursuant to paragraph (d)(5). Paragraph (d)(5) also does not affect the disclosure of information within a law firm when the disclosure is otherwise authorized, such as when a lawyer in a firm discloses information to another lawyer in the same firm to detect and resolve conflicts of interest that could arise in connection with undertaking a new representation.</w:t>
      </w:r>
    </w:p>
    <w:p w:rsidR="001C00DA" w:rsidRPr="00FB3BE2" w:rsidP="001C00DA" w14:paraId="1104DAC8" w14:textId="77777777">
      <w:pPr>
        <w:rPr>
          <w:rFonts w:cs="Arial"/>
          <w:sz w:val="24"/>
          <w:szCs w:val="24"/>
        </w:rPr>
      </w:pPr>
      <w:r w:rsidRPr="00FB3BE2">
        <w:rPr>
          <w:rFonts w:cs="Arial"/>
          <w:sz w:val="24"/>
          <w:szCs w:val="24"/>
        </w:rPr>
        <w:t>Paragraph (f) requires a lawyer to act competently to safeguard information, including electronically stored information, relating to the representation of a client against unauthorized access by third parties and against inadvertent or unauthorized disclosure by the lawyer or other persons or entities who are participating in the representation of the client or who are subject to the lawyer’s supervision. The unauthorized access to, or the inadvertent or unauthorized disclosure of, confidential information relating to the representation of a client does not constitute a violation of paragraph (f) if the lawyer has made reasonable efforts to prevent the access or disclosure. Factors to be considered in determining the reasonableness of the lawyer’s efforts include, but are not limited to, the sensitivity of the information, the likelihood of disclosure if additional safeguards are not employed, the cost of employing additional safeguards, the difficulty of implementing the safeguards, and the extent to which the safeguards adversely affect the lawyer’s ability to represent clients (e.g., by making a device or important piece of software excessively difficult to use). A client may require the lawyer to implement special security measures not required by this Rule or may give informed consent in writing to forgo security measures that would otherwise be required by this Rule. Whether a lawyer may be required to take additional steps to safeguard a client’s information in order to comply with other law, such as state and federal laws that govern data privacy or that impose notification requirements upon the loss of, or unauthorized access to, electronic information, is beyond the scope of these Rules.</w:t>
      </w:r>
    </w:p>
    <w:p w:rsidR="001C00DA" w:rsidRPr="00FB3BE2" w:rsidP="001C00DA" w14:paraId="0249E1F5" w14:textId="77777777">
      <w:pPr>
        <w:rPr>
          <w:rFonts w:cs="Arial"/>
          <w:b/>
          <w:bCs/>
          <w:sz w:val="24"/>
          <w:szCs w:val="24"/>
        </w:rPr>
      </w:pPr>
      <w:r w:rsidRPr="00FB3BE2">
        <w:rPr>
          <w:rFonts w:cs="Arial"/>
          <w:b/>
          <w:bCs/>
          <w:sz w:val="24"/>
          <w:szCs w:val="24"/>
        </w:rPr>
        <w:t>Official Comment (September 1, 2018)</w:t>
      </w:r>
    </w:p>
    <w:p w:rsidR="001C00DA" w:rsidRPr="00FB3BE2" w:rsidP="001C00DA" w14:paraId="676E296D" w14:textId="77777777">
      <w:pPr>
        <w:rPr>
          <w:rFonts w:cs="Arial"/>
          <w:sz w:val="24"/>
          <w:szCs w:val="24"/>
        </w:rPr>
      </w:pPr>
      <w:r w:rsidRPr="00FB3BE2">
        <w:rPr>
          <w:rFonts w:cs="Arial"/>
          <w:sz w:val="24"/>
          <w:szCs w:val="24"/>
        </w:rPr>
        <w:t>The Court adopts the comment in the Restatement (Third) of the Law Governing Lawyers on confidential information, which states:</w:t>
      </w:r>
    </w:p>
    <w:p w:rsidR="001C00DA" w:rsidRPr="00FB3BE2" w:rsidP="001C00DA" w14:paraId="08382800" w14:textId="77777777">
      <w:pPr>
        <w:rPr>
          <w:rFonts w:cs="Arial"/>
          <w:sz w:val="24"/>
          <w:szCs w:val="24"/>
        </w:rPr>
      </w:pPr>
      <w:r w:rsidRPr="00FB3BE2">
        <w:rPr>
          <w:rFonts w:cs="Arial"/>
          <w:sz w:val="24"/>
          <w:szCs w:val="24"/>
        </w:rPr>
        <w:t>Whether information is “generally known” depends on all circumstances relevant in obtaining the information. Information contained in books or records in public libraries, public</w:t>
      </w:r>
      <w:r>
        <w:rPr>
          <w:rFonts w:cs="Arial"/>
          <w:sz w:val="24"/>
          <w:szCs w:val="24"/>
        </w:rPr>
        <w:t xml:space="preserve">:  </w:t>
      </w:r>
      <w:r w:rsidRPr="00FB3BE2">
        <w:rPr>
          <w:rFonts w:cs="Arial"/>
          <w:sz w:val="24"/>
          <w:szCs w:val="24"/>
        </w:rPr>
        <w:t>record depositaries such as government offices, or in publicly accessible electronic</w:t>
      </w:r>
      <w:r>
        <w:rPr>
          <w:rFonts w:cs="Arial"/>
          <w:sz w:val="24"/>
          <w:szCs w:val="24"/>
        </w:rPr>
        <w:t xml:space="preserve">:  </w:t>
      </w:r>
      <w:r w:rsidRPr="00FB3BE2">
        <w:rPr>
          <w:rFonts w:cs="Arial"/>
          <w:sz w:val="24"/>
          <w:szCs w:val="24"/>
        </w:rPr>
        <w:t>data storage is generally known if the particular information is obtainable through publicly available indexes and similar methods of access. Information is not generally known when a person interested in knowing the information could obtain it only by means of special knowledge or substantial difficulty or expense. Special knowledge includes information about 10 the whereabouts or identity of a person or other source from which the information can be acquired, if those facts are not themselves generally known.</w:t>
      </w:r>
    </w:p>
    <w:p w:rsidR="001C00DA" w:rsidRPr="00FB3BE2" w:rsidP="001C00DA" w14:paraId="6D63339B" w14:textId="77777777">
      <w:pPr>
        <w:rPr>
          <w:rFonts w:cs="Arial"/>
          <w:sz w:val="24"/>
          <w:szCs w:val="24"/>
        </w:rPr>
      </w:pPr>
      <w:r w:rsidRPr="00FB3BE2">
        <w:rPr>
          <w:rFonts w:cs="Arial"/>
          <w:i/>
          <w:iCs/>
          <w:sz w:val="24"/>
          <w:szCs w:val="24"/>
        </w:rPr>
        <w:t>Note: Adopted July 12, 1984 to be effective September 10, 1984; paragraphs (a) and (b) amended, new paragraph (c) added, former paragraph (c) redesignated as paragraph (d), and former paragraph (d) amended and redesignated as paragraph (e) November 17, 2003 to be effective January 1, 2004; former subparagraph (d)(3) redesignated as subparagraph (d)(4) and new subparagraph (d)(3) adopted July 19, 2012 to be effective September 4, 2012; new subparagraph (d)(5) and new paragraph (f) adopted, and Official Comment added, August 1, 2016 to be effective September 1, 2016; paragraphs (a) and (b) amended, and additional Official Comment added July 27, 2018, to be effective September 1, 2018.</w:t>
      </w:r>
    </w:p>
    <w:p w:rsidR="001C00DA" w:rsidRPr="00FB3BE2" w:rsidP="001C00DA" w14:paraId="11BFB693" w14:textId="77777777">
      <w:pPr>
        <w:spacing w:after="0"/>
        <w:rPr>
          <w:rFonts w:cs="Arial"/>
          <w:sz w:val="24"/>
          <w:szCs w:val="24"/>
        </w:rPr>
      </w:pPr>
    </w:p>
    <w:p w:rsidR="001C00DA" w:rsidRPr="00FB3BE2" w:rsidP="001C00DA" w14:paraId="18C8EE53" w14:textId="3EBA0CD9">
      <w:pPr>
        <w:rPr>
          <w:rFonts w:cs="Arial"/>
          <w:b/>
          <w:bCs/>
          <w:sz w:val="24"/>
          <w:szCs w:val="24"/>
        </w:rPr>
      </w:pPr>
      <w:r w:rsidRPr="00FB3BE2">
        <w:rPr>
          <w:rFonts w:cs="Arial"/>
          <w:b/>
          <w:bCs/>
          <w:sz w:val="24"/>
          <w:szCs w:val="24"/>
        </w:rPr>
        <w:t>RPC 1.7</w:t>
      </w:r>
      <w:r w:rsidRPr="00FB3BE2">
        <w:rPr>
          <w:rFonts w:cs="Arial"/>
          <w:b/>
          <w:bCs/>
          <w:sz w:val="24"/>
          <w:szCs w:val="24"/>
        </w:rPr>
        <w:tab/>
        <w:t>Conflict of Interest: General Rule</w:t>
      </w:r>
    </w:p>
    <w:p w:rsidR="001C00DA" w:rsidRPr="00FB3BE2" w:rsidP="001C00DA" w14:paraId="6F6BADA2" w14:textId="77777777">
      <w:pPr>
        <w:ind w:firstLine="720"/>
        <w:rPr>
          <w:rFonts w:cs="Arial"/>
          <w:sz w:val="24"/>
          <w:szCs w:val="24"/>
        </w:rPr>
      </w:pPr>
      <w:r w:rsidRPr="00FB3BE2">
        <w:rPr>
          <w:rFonts w:cs="Arial"/>
          <w:b/>
          <w:bCs/>
          <w:sz w:val="24"/>
          <w:szCs w:val="24"/>
        </w:rPr>
        <w:t>(a)</w:t>
      </w:r>
      <w:r w:rsidRPr="00FB3BE2">
        <w:rPr>
          <w:rFonts w:cs="Arial"/>
          <w:sz w:val="24"/>
          <w:szCs w:val="24"/>
        </w:rPr>
        <w:t xml:space="preserve"> Except as provided in paragraph (b), a lawyer shall not represent a client if the representation involves a concurrent conflict of interest. A concurrent conflict of interest exists if: </w:t>
      </w:r>
    </w:p>
    <w:p w:rsidR="001C00DA" w:rsidRPr="00FB3BE2" w:rsidP="001C00DA" w14:paraId="10F104A2" w14:textId="77777777">
      <w:pPr>
        <w:ind w:left="720" w:firstLine="720"/>
        <w:rPr>
          <w:rFonts w:cs="Arial"/>
          <w:sz w:val="24"/>
          <w:szCs w:val="24"/>
        </w:rPr>
      </w:pPr>
      <w:r w:rsidRPr="00FB3BE2">
        <w:rPr>
          <w:rFonts w:cs="Arial"/>
          <w:b/>
          <w:bCs/>
          <w:sz w:val="24"/>
          <w:szCs w:val="24"/>
        </w:rPr>
        <w:t>(1)</w:t>
      </w:r>
      <w:r w:rsidRPr="00FB3BE2">
        <w:rPr>
          <w:rFonts w:cs="Arial"/>
          <w:sz w:val="24"/>
          <w:szCs w:val="24"/>
        </w:rPr>
        <w:t xml:space="preserve"> the representation of one client will be directly adverse to another client; or </w:t>
      </w:r>
    </w:p>
    <w:p w:rsidR="001C00DA" w:rsidRPr="00FB3BE2" w:rsidP="001C00DA" w14:paraId="094B7A2B" w14:textId="77777777">
      <w:pPr>
        <w:ind w:left="720" w:firstLine="720"/>
        <w:rPr>
          <w:rFonts w:cs="Arial"/>
          <w:sz w:val="24"/>
          <w:szCs w:val="24"/>
        </w:rPr>
      </w:pPr>
      <w:r w:rsidRPr="00FB3BE2">
        <w:rPr>
          <w:rFonts w:cs="Arial"/>
          <w:b/>
          <w:bCs/>
          <w:sz w:val="24"/>
          <w:szCs w:val="24"/>
        </w:rPr>
        <w:t>(2)</w:t>
      </w:r>
      <w:r w:rsidRPr="00FB3BE2">
        <w:rPr>
          <w:rFonts w:cs="Arial"/>
          <w:sz w:val="24"/>
          <w:szCs w:val="24"/>
        </w:rPr>
        <w:t xml:space="preserve"> there is a significant risk that the representation of one or more clients will be materially limited by the lawyer's responsibilities to another client, a former client, or a third person or by a personal interest of the lawyer. </w:t>
      </w:r>
    </w:p>
    <w:p w:rsidR="001C00DA" w:rsidRPr="00FB3BE2" w:rsidP="001C00DA" w14:paraId="2F9A89C1" w14:textId="77777777">
      <w:pPr>
        <w:ind w:firstLine="720"/>
        <w:rPr>
          <w:rFonts w:cs="Arial"/>
          <w:sz w:val="24"/>
          <w:szCs w:val="24"/>
        </w:rPr>
      </w:pPr>
      <w:r w:rsidRPr="00FB3BE2">
        <w:rPr>
          <w:rFonts w:cs="Arial"/>
          <w:b/>
          <w:bCs/>
          <w:sz w:val="24"/>
          <w:szCs w:val="24"/>
        </w:rPr>
        <w:t>(b)</w:t>
      </w:r>
      <w:r w:rsidRPr="00FB3BE2">
        <w:rPr>
          <w:rFonts w:cs="Arial"/>
          <w:sz w:val="24"/>
          <w:szCs w:val="24"/>
        </w:rPr>
        <w:t xml:space="preserve"> Notwithstanding the existence of a concurrent conflict of interest under paragraph (a), a lawyer may represent a client if: </w:t>
      </w:r>
    </w:p>
    <w:p w:rsidR="001C00DA" w:rsidRPr="00FB3BE2" w:rsidP="001C00DA" w14:paraId="56A38B8D" w14:textId="77777777">
      <w:pPr>
        <w:ind w:left="720" w:firstLine="720"/>
        <w:rPr>
          <w:rFonts w:cs="Arial"/>
          <w:sz w:val="24"/>
          <w:szCs w:val="24"/>
        </w:rPr>
      </w:pPr>
      <w:r w:rsidRPr="00FB3BE2">
        <w:rPr>
          <w:rFonts w:cs="Arial"/>
          <w:b/>
          <w:bCs/>
          <w:sz w:val="24"/>
          <w:szCs w:val="24"/>
        </w:rPr>
        <w:t>(1)</w:t>
      </w:r>
      <w:r w:rsidRPr="00FB3BE2">
        <w:rPr>
          <w:rFonts w:cs="Arial"/>
          <w:sz w:val="24"/>
          <w:szCs w:val="24"/>
        </w:rPr>
        <w:t xml:space="preserve"> each affected client gives informed consent, confirmed in writing, after full disclosure and consultation, provided, however, that a public entity cannot consent to any such representation. When the lawyer represents multiple clients in a single matter, the consultation shall include an explanation of the common representation and the advantages and risks involved; </w:t>
      </w:r>
    </w:p>
    <w:p w:rsidR="001C00DA" w:rsidRPr="00FB3BE2" w:rsidP="001C00DA" w14:paraId="5B2D8347" w14:textId="77777777">
      <w:pPr>
        <w:ind w:left="720" w:firstLine="720"/>
        <w:rPr>
          <w:rFonts w:cs="Arial"/>
          <w:sz w:val="24"/>
          <w:szCs w:val="24"/>
        </w:rPr>
      </w:pPr>
      <w:r w:rsidRPr="00FB3BE2">
        <w:rPr>
          <w:rFonts w:cs="Arial"/>
          <w:b/>
          <w:bCs/>
          <w:sz w:val="24"/>
          <w:szCs w:val="24"/>
        </w:rPr>
        <w:t>(2)</w:t>
      </w:r>
      <w:r w:rsidRPr="00FB3BE2">
        <w:rPr>
          <w:rFonts w:cs="Arial"/>
          <w:sz w:val="24"/>
          <w:szCs w:val="24"/>
        </w:rPr>
        <w:t xml:space="preserve"> the lawyer reasonably believes that the lawyer will be able to provide competent and diligent representation to each affected client; </w:t>
      </w:r>
    </w:p>
    <w:p w:rsidR="001C00DA" w:rsidRPr="00FB3BE2" w:rsidP="001C00DA" w14:paraId="7C121993" w14:textId="77777777">
      <w:pPr>
        <w:ind w:left="720" w:firstLine="720"/>
        <w:rPr>
          <w:rFonts w:cs="Arial"/>
          <w:sz w:val="24"/>
          <w:szCs w:val="24"/>
        </w:rPr>
      </w:pPr>
      <w:r w:rsidRPr="00FB3BE2">
        <w:rPr>
          <w:rFonts w:cs="Arial"/>
          <w:b/>
          <w:bCs/>
          <w:sz w:val="24"/>
          <w:szCs w:val="24"/>
        </w:rPr>
        <w:t>(3)</w:t>
      </w:r>
      <w:r w:rsidRPr="00FB3BE2">
        <w:rPr>
          <w:rFonts w:cs="Arial"/>
          <w:sz w:val="24"/>
          <w:szCs w:val="24"/>
        </w:rPr>
        <w:t xml:space="preserve"> the representation is not prohibited by law; and </w:t>
      </w:r>
    </w:p>
    <w:p w:rsidR="001C00DA" w:rsidRPr="00FB3BE2" w:rsidP="001C00DA" w14:paraId="5D6C13FD" w14:textId="77777777">
      <w:pPr>
        <w:ind w:left="720" w:firstLine="720"/>
        <w:rPr>
          <w:rFonts w:cs="Arial"/>
          <w:sz w:val="24"/>
          <w:szCs w:val="24"/>
        </w:rPr>
      </w:pPr>
      <w:r w:rsidRPr="00FB3BE2">
        <w:rPr>
          <w:rFonts w:cs="Arial"/>
          <w:b/>
          <w:bCs/>
          <w:sz w:val="24"/>
          <w:szCs w:val="24"/>
        </w:rPr>
        <w:t>(4)</w:t>
      </w:r>
      <w:r w:rsidRPr="00FB3BE2">
        <w:rPr>
          <w:rFonts w:cs="Arial"/>
          <w:sz w:val="24"/>
          <w:szCs w:val="24"/>
        </w:rPr>
        <w:t xml:space="preserve"> the representation does not involve the assertion of a claim by one client against another client represented by the lawyer in the same litigation or other proceeding before a tribunal.</w:t>
      </w:r>
    </w:p>
    <w:p w:rsidR="001C00DA" w:rsidRPr="00FB3BE2" w:rsidP="001C00DA" w14:paraId="1647A6DB" w14:textId="77777777">
      <w:pPr>
        <w:rPr>
          <w:rFonts w:cs="Arial"/>
          <w:sz w:val="24"/>
          <w:szCs w:val="24"/>
        </w:rPr>
      </w:pPr>
      <w:r w:rsidRPr="00FB3BE2">
        <w:rPr>
          <w:rFonts w:cs="Arial"/>
          <w:b/>
          <w:bCs/>
          <w:sz w:val="24"/>
          <w:szCs w:val="24"/>
        </w:rPr>
        <w:t>Note</w:t>
      </w:r>
      <w:r w:rsidRPr="00FB3BE2">
        <w:rPr>
          <w:rFonts w:cs="Arial"/>
          <w:sz w:val="24"/>
          <w:szCs w:val="24"/>
        </w:rPr>
        <w:t>: Adopted July 12, 1984 to be effective September 10, 1984; text deleted and new text adopted November 17, 2003 to be effective January 1, 2004.</w:t>
      </w:r>
    </w:p>
    <w:p w:rsidR="001C00DA" w:rsidP="001C00DA" w14:paraId="3962A7B7" w14:textId="77777777">
      <w:pPr>
        <w:jc w:val="both"/>
        <w:rPr>
          <w:rFonts w:cs="Arial"/>
          <w:b/>
          <w:bCs/>
          <w:sz w:val="24"/>
          <w:szCs w:val="24"/>
        </w:rPr>
      </w:pPr>
    </w:p>
    <w:p w:rsidR="001C00DA" w:rsidRPr="00FB3BE2" w:rsidP="001C00DA" w14:paraId="1A571281" w14:textId="270657CA">
      <w:pPr>
        <w:jc w:val="both"/>
        <w:rPr>
          <w:rFonts w:cs="Arial"/>
          <w:b/>
          <w:bCs/>
          <w:sz w:val="24"/>
          <w:szCs w:val="24"/>
        </w:rPr>
      </w:pPr>
      <w:r>
        <w:rPr>
          <w:rFonts w:cs="Arial"/>
          <w:b/>
          <w:bCs/>
          <w:sz w:val="24"/>
          <w:szCs w:val="24"/>
        </w:rPr>
        <w:t>R</w:t>
      </w:r>
      <w:r w:rsidRPr="00FB3BE2">
        <w:rPr>
          <w:rFonts w:cs="Arial"/>
          <w:b/>
          <w:bCs/>
          <w:sz w:val="24"/>
          <w:szCs w:val="24"/>
        </w:rPr>
        <w:t>PC 1.14</w:t>
      </w:r>
      <w:r w:rsidRPr="00FB3BE2">
        <w:rPr>
          <w:rFonts w:cs="Arial"/>
          <w:b/>
          <w:bCs/>
          <w:sz w:val="24"/>
          <w:szCs w:val="24"/>
        </w:rPr>
        <w:tab/>
        <w:t xml:space="preserve">Client Under a Disability </w:t>
      </w:r>
    </w:p>
    <w:p w:rsidR="001C00DA" w:rsidRPr="001C00DA" w:rsidP="001C00DA" w14:paraId="196D8CF2" w14:textId="77777777">
      <w:pPr>
        <w:ind w:firstLine="720"/>
        <w:jc w:val="both"/>
        <w:rPr>
          <w:rFonts w:cs="Arial"/>
          <w:sz w:val="24"/>
          <w:szCs w:val="24"/>
        </w:rPr>
      </w:pPr>
      <w:r w:rsidRPr="00FB3BE2">
        <w:rPr>
          <w:rFonts w:cs="Arial"/>
          <w:b/>
          <w:bCs/>
          <w:sz w:val="24"/>
          <w:szCs w:val="24"/>
        </w:rPr>
        <w:t>(a)</w:t>
      </w:r>
      <w:r w:rsidRPr="00FB3BE2">
        <w:rPr>
          <w:rFonts w:cs="Arial"/>
          <w:sz w:val="24"/>
          <w:szCs w:val="24"/>
        </w:rPr>
        <w:t xml:space="preserve"> When a </w:t>
      </w:r>
      <w:r w:rsidRPr="001C00DA">
        <w:rPr>
          <w:rFonts w:cs="Arial"/>
          <w:sz w:val="24"/>
          <w:szCs w:val="24"/>
        </w:rPr>
        <w:t xml:space="preserve">client's capacity to make adequately considered decisions in connection with the representation is diminished, whether because of minority, mental impairment or for some other reason, the lawyer shall, as far as reasonably possible, maintain a normal client:  lawyer relationship with the client. </w:t>
      </w:r>
    </w:p>
    <w:p w:rsidR="001C00DA" w:rsidRPr="001C00DA" w:rsidP="001C00DA" w14:paraId="1AC4EE97" w14:textId="77777777">
      <w:pPr>
        <w:ind w:firstLine="720"/>
        <w:jc w:val="both"/>
        <w:rPr>
          <w:rFonts w:cs="Arial"/>
          <w:sz w:val="24"/>
          <w:szCs w:val="24"/>
        </w:rPr>
      </w:pPr>
      <w:r w:rsidRPr="001C00DA">
        <w:rPr>
          <w:rFonts w:cs="Arial"/>
          <w:b/>
          <w:bCs/>
          <w:sz w:val="24"/>
          <w:szCs w:val="24"/>
        </w:rPr>
        <w:t>(b)</w:t>
      </w:r>
      <w:r w:rsidRPr="001C00DA">
        <w:rPr>
          <w:rFonts w:cs="Arial"/>
          <w:sz w:val="24"/>
          <w:szCs w:val="24"/>
        </w:rPr>
        <w:t xml:space="preserve"> When the lawyer reasonably believes that the client has diminished capacity, is at risk of substantial physical, financial or other harm unless action is taken and cannot adequately act in the client's own interest, the lawyer may take reasonably necessary protective action, including consulting with individuals or entities that have the ability to take action to protect the client and, in appropriate cases, seeking the appointment of a guardian ad litem, conservator, or guardian. </w:t>
      </w:r>
    </w:p>
    <w:p w:rsidR="001C00DA" w:rsidRPr="00FB3BE2" w:rsidP="001C00DA" w14:paraId="1001E60F" w14:textId="77777777">
      <w:pPr>
        <w:ind w:firstLine="720"/>
        <w:jc w:val="both"/>
        <w:rPr>
          <w:rFonts w:cs="Arial"/>
          <w:sz w:val="24"/>
          <w:szCs w:val="24"/>
        </w:rPr>
      </w:pPr>
      <w:r w:rsidRPr="001C00DA">
        <w:rPr>
          <w:rFonts w:cs="Arial"/>
          <w:b/>
          <w:bCs/>
          <w:sz w:val="24"/>
          <w:szCs w:val="24"/>
        </w:rPr>
        <w:t>(c)</w:t>
      </w:r>
      <w:r w:rsidRPr="001C00DA">
        <w:rPr>
          <w:rFonts w:cs="Arial"/>
          <w:sz w:val="24"/>
          <w:szCs w:val="24"/>
        </w:rPr>
        <w:t xml:space="preserve"> Information relating to the representation of a client with diminished capacity is protected by RPC 1.6. When taking protective action pursuant to paragraph (b), the lawyer is impliedly authorized under RPC 1.6(a) to reveal information about the client, but only to the extent reasonably necessary to protect the client's interests.</w:t>
      </w:r>
    </w:p>
    <w:p w:rsidR="001C00DA" w:rsidRPr="00FB3BE2" w:rsidP="001C00DA" w14:paraId="33E380B4" w14:textId="77777777">
      <w:pPr>
        <w:jc w:val="both"/>
        <w:rPr>
          <w:rFonts w:cs="Arial"/>
          <w:sz w:val="24"/>
          <w:szCs w:val="24"/>
        </w:rPr>
      </w:pPr>
      <w:r w:rsidRPr="00FB3BE2">
        <w:rPr>
          <w:rFonts w:cs="Arial"/>
          <w:b/>
          <w:bCs/>
          <w:sz w:val="24"/>
          <w:szCs w:val="24"/>
        </w:rPr>
        <w:t>Note:</w:t>
      </w:r>
      <w:r w:rsidRPr="00FB3BE2">
        <w:rPr>
          <w:rFonts w:cs="Arial"/>
          <w:sz w:val="24"/>
          <w:szCs w:val="24"/>
        </w:rPr>
        <w:t xml:space="preserve"> Adopted July 12, 1984 to be effective September 10, 1984; paragraphs (a) and (b) amended and new paragraph (c) adopted November 17, 2003 to be effective January 1, 2004.</w:t>
      </w:r>
    </w:p>
    <w:p w:rsidR="001C00DA" w:rsidRPr="00FB3BE2" w:rsidP="001C00DA" w14:paraId="39CD3628" w14:textId="77777777">
      <w:pPr>
        <w:spacing w:after="0"/>
        <w:jc w:val="both"/>
        <w:rPr>
          <w:rFonts w:cs="Arial"/>
          <w:b/>
          <w:bCs/>
          <w:sz w:val="24"/>
          <w:szCs w:val="24"/>
        </w:rPr>
      </w:pPr>
      <w:r w:rsidRPr="00FB3BE2">
        <w:rPr>
          <w:rFonts w:cs="Arial"/>
          <w:b/>
          <w:bCs/>
          <w:sz w:val="24"/>
          <w:szCs w:val="24"/>
        </w:rPr>
        <w:t>Standards of Conduct for Mediators in Court—Connected Programs</w:t>
      </w:r>
    </w:p>
    <w:p w:rsidR="001C00DA" w:rsidRPr="00FB3BE2" w:rsidP="001C00DA" w14:paraId="10A38249" w14:textId="77777777">
      <w:pPr>
        <w:spacing w:after="0"/>
        <w:jc w:val="both"/>
        <w:rPr>
          <w:rFonts w:cs="Arial"/>
          <w:b/>
          <w:bCs/>
          <w:sz w:val="24"/>
          <w:szCs w:val="24"/>
        </w:rPr>
      </w:pPr>
      <w:r w:rsidRPr="00FB3BE2">
        <w:rPr>
          <w:rFonts w:cs="Arial"/>
          <w:b/>
          <w:bCs/>
          <w:sz w:val="24"/>
          <w:szCs w:val="24"/>
        </w:rPr>
        <w:t xml:space="preserve">VI. Quality of the Process </w:t>
      </w:r>
    </w:p>
    <w:p w:rsidR="001C00DA" w:rsidRPr="001C00DA" w:rsidP="001C00DA" w14:paraId="6BC9F79E" w14:textId="77777777">
      <w:pPr>
        <w:spacing w:after="0"/>
        <w:jc w:val="both"/>
        <w:rPr>
          <w:rFonts w:cs="Arial"/>
          <w:sz w:val="24"/>
          <w:szCs w:val="24"/>
        </w:rPr>
      </w:pPr>
      <w:r w:rsidRPr="00FB3BE2">
        <w:rPr>
          <w:rFonts w:cs="Arial"/>
          <w:sz w:val="24"/>
          <w:szCs w:val="24"/>
        </w:rPr>
        <w:t>A mediator shall conduct the mediation fairly, diligently, and in a manner consistent with the principle of self</w:t>
      </w:r>
      <w:r>
        <w:rPr>
          <w:rFonts w:cs="Arial"/>
          <w:sz w:val="24"/>
          <w:szCs w:val="24"/>
        </w:rPr>
        <w:t xml:space="preserve">:  </w:t>
      </w:r>
      <w:r w:rsidRPr="001C00DA">
        <w:rPr>
          <w:rFonts w:cs="Arial"/>
          <w:sz w:val="24"/>
          <w:szCs w:val="24"/>
        </w:rPr>
        <w:t>determination by the parties. To further these goals, a mediator shall:</w:t>
      </w:r>
    </w:p>
    <w:p w:rsidR="001C00DA" w:rsidRPr="001C00DA" w:rsidP="001C00DA" w14:paraId="3E2D6514" w14:textId="77777777">
      <w:pPr>
        <w:pStyle w:val="ListParagraph"/>
        <w:numPr>
          <w:ilvl w:val="0"/>
          <w:numId w:val="1"/>
        </w:numPr>
        <w:spacing w:after="0"/>
        <w:jc w:val="both"/>
        <w:rPr>
          <w:rFonts w:cs="Arial"/>
          <w:sz w:val="24"/>
          <w:szCs w:val="24"/>
        </w:rPr>
      </w:pPr>
      <w:r w:rsidRPr="001C00DA">
        <w:rPr>
          <w:rFonts w:cs="Arial"/>
          <w:sz w:val="24"/>
          <w:szCs w:val="24"/>
        </w:rPr>
        <w:t>Work to ensure a quality process and to encourage mutual response among the parties, including a commitment by the mediator to diligence and to the procedural fairness;</w:t>
      </w:r>
    </w:p>
    <w:p w:rsidR="001C00DA" w:rsidRPr="001C00DA" w:rsidP="001C00DA" w14:paraId="6E8B93B1" w14:textId="77777777">
      <w:pPr>
        <w:pStyle w:val="ListParagraph"/>
        <w:numPr>
          <w:ilvl w:val="0"/>
          <w:numId w:val="1"/>
        </w:numPr>
        <w:spacing w:after="0"/>
        <w:jc w:val="both"/>
        <w:rPr>
          <w:rFonts w:cs="Arial"/>
          <w:sz w:val="24"/>
          <w:szCs w:val="24"/>
        </w:rPr>
      </w:pPr>
      <w:r w:rsidRPr="001C00DA">
        <w:rPr>
          <w:rFonts w:cs="Arial"/>
          <w:sz w:val="24"/>
          <w:szCs w:val="24"/>
        </w:rPr>
        <w:t>Assess the case and determine that it is appropriate and suitable for continuing the mediation;</w:t>
      </w:r>
    </w:p>
    <w:p w:rsidR="001C00DA" w:rsidRPr="00FB3BE2" w:rsidP="001C00DA" w14:paraId="7BADEEEC" w14:textId="77777777">
      <w:pPr>
        <w:pStyle w:val="ListParagraph"/>
        <w:numPr>
          <w:ilvl w:val="0"/>
          <w:numId w:val="1"/>
        </w:numPr>
        <w:spacing w:after="0"/>
        <w:jc w:val="both"/>
        <w:rPr>
          <w:rFonts w:cs="Arial"/>
          <w:sz w:val="24"/>
          <w:szCs w:val="24"/>
        </w:rPr>
      </w:pPr>
      <w:r w:rsidRPr="001C00DA">
        <w:rPr>
          <w:rFonts w:cs="Arial"/>
          <w:sz w:val="24"/>
          <w:szCs w:val="24"/>
        </w:rPr>
        <w:t>Provide adequate opportunity for each party in the mediation to participate fully in the discussions, and allow the parties to decide when and under what conditions they will reach an agreement to terminate the</w:t>
      </w:r>
      <w:r w:rsidRPr="00FB3BE2">
        <w:rPr>
          <w:rFonts w:cs="Arial"/>
          <w:sz w:val="24"/>
          <w:szCs w:val="24"/>
        </w:rPr>
        <w:t xml:space="preserve"> mediation;</w:t>
      </w:r>
    </w:p>
    <w:p w:rsidR="001C00DA" w:rsidRPr="00FB3BE2" w:rsidP="001C00DA" w14:paraId="5AB3DD3A" w14:textId="77777777">
      <w:pPr>
        <w:pStyle w:val="ListParagraph"/>
        <w:numPr>
          <w:ilvl w:val="0"/>
          <w:numId w:val="1"/>
        </w:numPr>
        <w:spacing w:after="0"/>
        <w:jc w:val="both"/>
        <w:rPr>
          <w:rFonts w:cs="Arial"/>
          <w:sz w:val="24"/>
          <w:szCs w:val="24"/>
        </w:rPr>
      </w:pPr>
      <w:r w:rsidRPr="00FB3BE2">
        <w:rPr>
          <w:rFonts w:cs="Arial"/>
          <w:sz w:val="24"/>
          <w:szCs w:val="24"/>
        </w:rPr>
        <w:t xml:space="preserve">Not unnecessarily or inappropriately prolong a mediation session if it becomes apparent to the mediator that the case is unsuitable for mediation, or if one or more parties is unwilling or unable to participate in the mediation process in a meaningful manner; </w:t>
      </w:r>
    </w:p>
    <w:p w:rsidR="001C00DA" w:rsidRPr="00FB3BE2" w:rsidP="001C00DA" w14:paraId="413ADFE6" w14:textId="77777777">
      <w:pPr>
        <w:pStyle w:val="ListParagraph"/>
        <w:numPr>
          <w:ilvl w:val="0"/>
          <w:numId w:val="1"/>
        </w:numPr>
        <w:spacing w:after="0"/>
        <w:jc w:val="both"/>
        <w:rPr>
          <w:rFonts w:cs="Arial"/>
          <w:sz w:val="24"/>
          <w:szCs w:val="24"/>
        </w:rPr>
      </w:pPr>
      <w:r w:rsidRPr="00FB3BE2">
        <w:rPr>
          <w:rFonts w:cs="Arial"/>
          <w:sz w:val="24"/>
          <w:szCs w:val="24"/>
        </w:rPr>
        <w:t>Only accept cases when the mediator can satisfy the reasonable expectations of the parties concerning the timetable for the process, and not allow a mediation to be unduly delayed by the parties or their representatives; and</w:t>
      </w:r>
    </w:p>
    <w:p w:rsidR="001C00DA" w:rsidRPr="00FB3BE2" w:rsidP="001C00DA" w14:paraId="0AAC4EA1" w14:textId="77777777">
      <w:pPr>
        <w:pStyle w:val="ListParagraph"/>
        <w:numPr>
          <w:ilvl w:val="0"/>
          <w:numId w:val="1"/>
        </w:numPr>
        <w:spacing w:after="0"/>
        <w:jc w:val="both"/>
        <w:rPr>
          <w:rFonts w:cs="Arial"/>
          <w:sz w:val="24"/>
          <w:szCs w:val="24"/>
        </w:rPr>
      </w:pPr>
      <w:r w:rsidRPr="00FB3BE2">
        <w:rPr>
          <w:rFonts w:cs="Arial"/>
          <w:sz w:val="24"/>
          <w:szCs w:val="24"/>
        </w:rPr>
        <w:t xml:space="preserve">Where appropriate, recommend that parties seek outside professional advice or consider resolving their dispute through arbitration, counseling, neutral evaluation, or other processes. </w:t>
      </w:r>
    </w:p>
    <w:p w:rsidR="001C00DA" w:rsidRPr="00FB3BE2" w:rsidP="001C00DA" w14:paraId="0F512253" w14:textId="77777777">
      <w:pPr>
        <w:spacing w:after="0"/>
        <w:jc w:val="both"/>
        <w:rPr>
          <w:rFonts w:cs="Arial"/>
          <w:sz w:val="24"/>
          <w:szCs w:val="24"/>
        </w:rPr>
      </w:pPr>
    </w:p>
    <w:p w:rsidR="001C00DA" w:rsidRPr="00FB3BE2" w:rsidP="001C00DA" w14:paraId="369E8798" w14:textId="77777777">
      <w:pPr>
        <w:spacing w:after="0"/>
        <w:jc w:val="both"/>
        <w:rPr>
          <w:rFonts w:cs="Arial"/>
          <w:b/>
          <w:bCs/>
          <w:sz w:val="24"/>
          <w:szCs w:val="24"/>
        </w:rPr>
      </w:pPr>
      <w:r w:rsidRPr="00FB3BE2">
        <w:rPr>
          <w:rFonts w:cs="Arial"/>
          <w:b/>
          <w:bCs/>
          <w:sz w:val="24"/>
          <w:szCs w:val="24"/>
        </w:rPr>
        <w:t xml:space="preserve">Program Guidelines for Statewide Programs for Mediation of Economic Aspects of Family Matters—Termination of Mediation </w:t>
      </w:r>
    </w:p>
    <w:p w:rsidR="001C00DA" w:rsidRPr="00FB3BE2" w:rsidP="001C00DA" w14:paraId="7AC4A9F5" w14:textId="77777777">
      <w:pPr>
        <w:spacing w:after="0"/>
        <w:jc w:val="both"/>
        <w:rPr>
          <w:rFonts w:cs="Arial"/>
          <w:sz w:val="24"/>
          <w:szCs w:val="24"/>
        </w:rPr>
      </w:pPr>
      <w:r w:rsidRPr="00FB3BE2">
        <w:rPr>
          <w:rFonts w:cs="Arial"/>
          <w:sz w:val="24"/>
          <w:szCs w:val="24"/>
        </w:rPr>
        <w:tab/>
        <w:t>Pursuant to Rule 1:40</w:t>
      </w:r>
      <w:r>
        <w:rPr>
          <w:rFonts w:cs="Arial"/>
          <w:sz w:val="24"/>
          <w:szCs w:val="24"/>
        </w:rPr>
        <w:t xml:space="preserve">:  </w:t>
      </w:r>
      <w:r w:rsidRPr="00FB3BE2">
        <w:rPr>
          <w:rFonts w:cs="Arial"/>
          <w:sz w:val="24"/>
          <w:szCs w:val="24"/>
        </w:rPr>
        <w:t xml:space="preserve">4(f), the mediator or a participate </w:t>
      </w:r>
      <w:r w:rsidRPr="00FB3BE2">
        <w:rPr>
          <w:rFonts w:cs="Arial"/>
          <w:sz w:val="24"/>
          <w:szCs w:val="24"/>
          <w:u w:val="single"/>
        </w:rPr>
        <w:t>may</w:t>
      </w:r>
      <w:r w:rsidRPr="00FB3BE2">
        <w:rPr>
          <w:rFonts w:cs="Arial"/>
          <w:sz w:val="24"/>
          <w:szCs w:val="24"/>
        </w:rPr>
        <w:t xml:space="preserve"> terminate the session if (1) there is an imbalance of power between the parties that the mediator cannot overcome, (2) a party challenges the impartiality of the mediator, (3) there is abusive behavior that the mediator cannot control, or (4) a party continuously resists the mediation process or the mediator. </w:t>
      </w:r>
    </w:p>
    <w:p w:rsidR="001C00DA" w:rsidP="001C00DA" w14:paraId="65B910BD" w14:textId="77777777">
      <w:pPr>
        <w:spacing w:after="0"/>
        <w:jc w:val="both"/>
        <w:rPr>
          <w:rFonts w:cs="Arial"/>
          <w:sz w:val="24"/>
          <w:szCs w:val="24"/>
        </w:rPr>
      </w:pPr>
      <w:r w:rsidRPr="00FB3BE2">
        <w:rPr>
          <w:rFonts w:cs="Arial"/>
          <w:sz w:val="24"/>
          <w:szCs w:val="24"/>
        </w:rPr>
        <w:tab/>
        <w:t xml:space="preserve">The mediator </w:t>
      </w:r>
      <w:r w:rsidRPr="00FB3BE2">
        <w:rPr>
          <w:rFonts w:cs="Arial"/>
          <w:sz w:val="24"/>
          <w:szCs w:val="24"/>
          <w:u w:val="single"/>
        </w:rPr>
        <w:t xml:space="preserve">shall </w:t>
      </w:r>
      <w:r w:rsidRPr="00FB3BE2">
        <w:rPr>
          <w:rFonts w:cs="Arial"/>
          <w:sz w:val="24"/>
          <w:szCs w:val="24"/>
        </w:rPr>
        <w:t xml:space="preserve">terminate the session if (1) there is a failure of communication that seriously impedes effective discussion, (2) the mediator believes a party is under the influence of drugs or alcohol, or (3) the mediator believes continued mediation is inappropriate or inadvisable for any reason. </w:t>
      </w:r>
    </w:p>
    <w:p w:rsidR="001C00DA" w:rsidRPr="00FB3BE2" w:rsidP="001C00DA" w14:paraId="07B373FD" w14:textId="77777777">
      <w:pPr>
        <w:spacing w:after="0"/>
        <w:jc w:val="both"/>
        <w:rPr>
          <w:rFonts w:cs="Arial"/>
          <w:sz w:val="24"/>
          <w:szCs w:val="24"/>
        </w:rPr>
      </w:pPr>
    </w:p>
    <w:p w:rsidR="001C00DA" w:rsidRPr="00FB3BE2" w:rsidP="001C00DA" w14:paraId="58C6134C" w14:textId="77777777">
      <w:pPr>
        <w:rPr>
          <w:rFonts w:cs="Arial"/>
          <w:b/>
          <w:bCs/>
          <w:sz w:val="24"/>
          <w:szCs w:val="24"/>
        </w:rPr>
      </w:pPr>
      <w:r w:rsidRPr="00FB3BE2">
        <w:rPr>
          <w:rFonts w:cs="Arial"/>
          <w:b/>
          <w:bCs/>
          <w:sz w:val="24"/>
          <w:szCs w:val="24"/>
        </w:rPr>
        <w:t>RPC 3.1</w:t>
      </w:r>
      <w:r w:rsidRPr="00FB3BE2">
        <w:rPr>
          <w:rFonts w:cs="Arial"/>
          <w:b/>
          <w:bCs/>
          <w:sz w:val="24"/>
          <w:szCs w:val="24"/>
        </w:rPr>
        <w:tab/>
        <w:t>Meritorious Claims and Contentions</w:t>
      </w:r>
    </w:p>
    <w:p w:rsidR="001C00DA" w:rsidRPr="00FB3BE2" w:rsidP="001C00DA" w14:paraId="41DF2832" w14:textId="77777777">
      <w:pPr>
        <w:ind w:firstLine="720"/>
        <w:rPr>
          <w:rFonts w:cs="Arial"/>
          <w:sz w:val="24"/>
          <w:szCs w:val="24"/>
        </w:rPr>
      </w:pPr>
      <w:r w:rsidRPr="00FB3BE2">
        <w:rPr>
          <w:rFonts w:cs="Arial"/>
          <w:sz w:val="24"/>
          <w:szCs w:val="24"/>
        </w:rPr>
        <w:t>A lawyer shall not bring or defend a proceeding, nor assert or controvert an issue therein unless the lawyer knows or reasonably believes that there is a basis in law and fact for doing so that is not frivolous, which includes a good faith argument for an extension, modification, or reversal of existing law, or the establishment of new law. A lawyer for the defendant in a criminal proceeding, or the respondent in a proceeding that could result in incarceration, may nevertheless so defend the proceeding as to require that every element of the case be established. </w:t>
      </w:r>
    </w:p>
    <w:p w:rsidR="001C00DA" w:rsidRPr="00FB3BE2" w:rsidP="001C00DA" w14:paraId="2915DAFC" w14:textId="77777777">
      <w:pPr>
        <w:rPr>
          <w:rFonts w:cs="Arial"/>
          <w:i/>
          <w:iCs/>
          <w:sz w:val="24"/>
          <w:szCs w:val="24"/>
        </w:rPr>
      </w:pPr>
      <w:r w:rsidRPr="00FB3BE2">
        <w:rPr>
          <w:rFonts w:cs="Arial"/>
          <w:i/>
          <w:iCs/>
          <w:sz w:val="24"/>
          <w:szCs w:val="24"/>
        </w:rPr>
        <w:t>Note: Adopted July 12, 1984 to be effective September 10, 1984; amended November 17, 2003 to be effective January 1, 2004.</w:t>
      </w:r>
    </w:p>
    <w:p w:rsidR="001C00DA" w:rsidP="001C00DA" w14:paraId="07C422DE" w14:textId="77777777">
      <w:pPr>
        <w:spacing w:after="0"/>
        <w:jc w:val="both"/>
        <w:rPr>
          <w:rFonts w:cs="Arial"/>
          <w:sz w:val="24"/>
          <w:szCs w:val="24"/>
        </w:rPr>
      </w:pPr>
    </w:p>
    <w:p w:rsidR="001C00DA" w:rsidRPr="00FB3BE2" w:rsidP="001C00DA" w14:paraId="54284E34" w14:textId="77777777">
      <w:pPr>
        <w:rPr>
          <w:rFonts w:cs="Arial"/>
          <w:b/>
          <w:bCs/>
          <w:sz w:val="24"/>
          <w:szCs w:val="24"/>
        </w:rPr>
      </w:pPr>
      <w:r w:rsidRPr="00FB3BE2">
        <w:rPr>
          <w:rFonts w:cs="Arial"/>
          <w:b/>
          <w:bCs/>
          <w:sz w:val="24"/>
          <w:szCs w:val="24"/>
        </w:rPr>
        <w:t>RPC 5.1</w:t>
      </w:r>
      <w:r w:rsidRPr="00FB3BE2">
        <w:rPr>
          <w:rFonts w:cs="Arial"/>
          <w:b/>
          <w:bCs/>
          <w:sz w:val="24"/>
          <w:szCs w:val="24"/>
        </w:rPr>
        <w:tab/>
        <w:t>Responsibilities of Partners, Supervisory Lawyers, and Law Firms</w:t>
      </w:r>
    </w:p>
    <w:p w:rsidR="001C00DA" w:rsidRPr="00FB3BE2" w:rsidP="001C00DA" w14:paraId="294CFD6E" w14:textId="77777777">
      <w:pPr>
        <w:ind w:firstLine="720"/>
        <w:rPr>
          <w:rFonts w:cs="Arial"/>
          <w:sz w:val="24"/>
          <w:szCs w:val="24"/>
        </w:rPr>
      </w:pPr>
      <w:r w:rsidRPr="00FB3BE2">
        <w:rPr>
          <w:rFonts w:cs="Arial"/>
          <w:b/>
          <w:bCs/>
          <w:sz w:val="24"/>
          <w:szCs w:val="24"/>
        </w:rPr>
        <w:t>(a)</w:t>
      </w:r>
      <w:r w:rsidRPr="00FB3BE2">
        <w:rPr>
          <w:rFonts w:cs="Arial"/>
          <w:sz w:val="24"/>
          <w:szCs w:val="24"/>
        </w:rPr>
        <w:t xml:space="preserve"> Every law firm, government entity, and organization authorized by the Court Rules to practice law in this jurisdiction shall make reasonable efforts to ensure that member lawyers or lawyers otherwise participating in the organization's work undertake measures giving reasonable assurance that all lawyers conform to the Rules of Professional Conduct.</w:t>
      </w:r>
    </w:p>
    <w:p w:rsidR="001C00DA" w:rsidRPr="00FB3BE2" w:rsidP="001C00DA" w14:paraId="09A324F4" w14:textId="77777777">
      <w:pPr>
        <w:ind w:firstLine="720"/>
        <w:rPr>
          <w:rFonts w:cs="Arial"/>
          <w:sz w:val="24"/>
          <w:szCs w:val="24"/>
        </w:rPr>
      </w:pPr>
      <w:r w:rsidRPr="00FB3BE2">
        <w:rPr>
          <w:rFonts w:cs="Arial"/>
          <w:b/>
          <w:bCs/>
          <w:sz w:val="24"/>
          <w:szCs w:val="24"/>
        </w:rPr>
        <w:t>(b)</w:t>
      </w:r>
      <w:r w:rsidRPr="00FB3BE2">
        <w:rPr>
          <w:rFonts w:cs="Arial"/>
          <w:sz w:val="24"/>
          <w:szCs w:val="24"/>
        </w:rPr>
        <w:t xml:space="preserve"> A lawyer having direct supervisory authority over another lawyer shall make reasonable efforts to ensure that the other lawyer conforms to the Rules of Professional Conduct.</w:t>
      </w:r>
    </w:p>
    <w:p w:rsidR="001C00DA" w:rsidRPr="00FB3BE2" w:rsidP="001C00DA" w14:paraId="52CD5CC3" w14:textId="77777777">
      <w:pPr>
        <w:ind w:firstLine="720"/>
        <w:rPr>
          <w:rFonts w:cs="Arial"/>
          <w:sz w:val="24"/>
          <w:szCs w:val="24"/>
        </w:rPr>
      </w:pPr>
      <w:r w:rsidRPr="00FB3BE2">
        <w:rPr>
          <w:rFonts w:cs="Arial"/>
          <w:b/>
          <w:bCs/>
          <w:sz w:val="24"/>
          <w:szCs w:val="24"/>
        </w:rPr>
        <w:t>(c)</w:t>
      </w:r>
      <w:r w:rsidRPr="00FB3BE2">
        <w:rPr>
          <w:rFonts w:cs="Arial"/>
          <w:sz w:val="24"/>
          <w:szCs w:val="24"/>
        </w:rPr>
        <w:t xml:space="preserve"> A lawyer shall be responsible for another lawyer's violation of the Rules of Professional Conduct if:</w:t>
      </w:r>
    </w:p>
    <w:p w:rsidR="001C00DA" w:rsidRPr="00FB3BE2" w:rsidP="001C00DA" w14:paraId="2B6C808E" w14:textId="77777777">
      <w:pPr>
        <w:ind w:left="720" w:firstLine="720"/>
        <w:rPr>
          <w:rFonts w:cs="Arial"/>
          <w:sz w:val="24"/>
          <w:szCs w:val="24"/>
        </w:rPr>
      </w:pPr>
      <w:r w:rsidRPr="00FB3BE2">
        <w:rPr>
          <w:rFonts w:cs="Arial"/>
          <w:b/>
          <w:bCs/>
          <w:sz w:val="24"/>
          <w:szCs w:val="24"/>
        </w:rPr>
        <w:t>(1)</w:t>
      </w:r>
      <w:r w:rsidRPr="00FB3BE2">
        <w:rPr>
          <w:rFonts w:cs="Arial"/>
          <w:sz w:val="24"/>
          <w:szCs w:val="24"/>
        </w:rPr>
        <w:t xml:space="preserve"> the lawyer orders or ratifies the conduct involved; or</w:t>
      </w:r>
    </w:p>
    <w:p w:rsidR="001C00DA" w:rsidRPr="00FB3BE2" w:rsidP="001C00DA" w14:paraId="7C8C87A5" w14:textId="77777777">
      <w:pPr>
        <w:ind w:left="720" w:firstLine="720"/>
        <w:rPr>
          <w:rFonts w:cs="Arial"/>
          <w:sz w:val="24"/>
          <w:szCs w:val="24"/>
        </w:rPr>
      </w:pPr>
      <w:r w:rsidRPr="00FB3BE2">
        <w:rPr>
          <w:rFonts w:cs="Arial"/>
          <w:b/>
          <w:bCs/>
          <w:sz w:val="24"/>
          <w:szCs w:val="24"/>
        </w:rPr>
        <w:t>(2)</w:t>
      </w:r>
      <w:r w:rsidRPr="00FB3BE2">
        <w:rPr>
          <w:rFonts w:cs="Arial"/>
          <w:sz w:val="24"/>
          <w:szCs w:val="24"/>
        </w:rPr>
        <w:t xml:space="preserve"> the lawyer having direct supervisory authority over the other lawyer knows of the conduct at a time when its consequences can be avoided or mitigated but fails to take reasonable remedial action.</w:t>
      </w:r>
    </w:p>
    <w:p w:rsidR="001C00DA" w:rsidRPr="00FB3BE2" w:rsidP="001C00DA" w14:paraId="363CD0C2" w14:textId="77777777">
      <w:pPr>
        <w:ind w:firstLine="720"/>
        <w:rPr>
          <w:rFonts w:cs="Arial"/>
          <w:sz w:val="24"/>
          <w:szCs w:val="24"/>
        </w:rPr>
      </w:pPr>
      <w:r w:rsidRPr="00FB3BE2">
        <w:rPr>
          <w:rFonts w:cs="Arial"/>
          <w:b/>
          <w:bCs/>
          <w:sz w:val="24"/>
          <w:szCs w:val="24"/>
        </w:rPr>
        <w:t>(d)</w:t>
      </w:r>
      <w:r w:rsidRPr="00FB3BE2">
        <w:rPr>
          <w:rFonts w:cs="Arial"/>
          <w:sz w:val="24"/>
          <w:szCs w:val="24"/>
        </w:rPr>
        <w:t xml:space="preserve"> No law firm or lawyer on behalf of a law firm shall pay an assessment or make a contribution to a political organization or candidate, including but not limited to purchasing tickets for political party dinners or for other functions, from any of the firm's business accounts while a municipal court judge is associated with the firm as a partner, shareholder, director, of counsel, or associate or holds some other comparable status with the firm.</w:t>
      </w:r>
    </w:p>
    <w:p w:rsidR="001C00DA" w:rsidRPr="00FB3BE2" w:rsidP="001C00DA" w14:paraId="56217A37" w14:textId="77777777">
      <w:pPr>
        <w:rPr>
          <w:rFonts w:cs="Arial"/>
          <w:sz w:val="24"/>
          <w:szCs w:val="24"/>
        </w:rPr>
      </w:pPr>
      <w:r w:rsidRPr="00FB3BE2">
        <w:rPr>
          <w:rFonts w:cs="Arial"/>
          <w:i/>
          <w:iCs/>
          <w:sz w:val="24"/>
          <w:szCs w:val="24"/>
        </w:rPr>
        <w:t>Note: Adopted July 12, 1984 to be effective September 10, 1984; caption and paragraph (a) amended November 17, 2003 to be effective January 1, 2004; new paragraph (d) adopted July 19, 2012 to be effective September 4, 2012.</w:t>
      </w:r>
    </w:p>
    <w:p w:rsidR="001C00DA" w:rsidRPr="00FB3BE2" w:rsidP="001C00DA" w14:paraId="5D5A84B8" w14:textId="77777777">
      <w:pPr>
        <w:rPr>
          <w:rFonts w:cs="Arial"/>
          <w:sz w:val="24"/>
          <w:szCs w:val="24"/>
        </w:rPr>
      </w:pPr>
    </w:p>
    <w:p w:rsidR="001C00DA" w:rsidRPr="00FB3BE2" w:rsidP="001C00DA" w14:paraId="74A26088" w14:textId="77777777">
      <w:pPr>
        <w:rPr>
          <w:rFonts w:cs="Arial"/>
          <w:sz w:val="24"/>
          <w:szCs w:val="24"/>
        </w:rPr>
      </w:pPr>
      <w:r w:rsidRPr="00FB3BE2">
        <w:rPr>
          <w:rFonts w:cs="Arial"/>
          <w:b/>
          <w:bCs/>
          <w:sz w:val="24"/>
          <w:szCs w:val="24"/>
        </w:rPr>
        <w:t>RPC 5.3</w:t>
      </w:r>
      <w:r w:rsidRPr="00FB3BE2">
        <w:rPr>
          <w:rFonts w:cs="Arial"/>
          <w:b/>
          <w:bCs/>
          <w:sz w:val="24"/>
          <w:szCs w:val="24"/>
        </w:rPr>
        <w:tab/>
        <w:t>Responsibilities Regarding Nonlawyer Assistance</w:t>
      </w:r>
    </w:p>
    <w:p w:rsidR="001C00DA" w:rsidRPr="00FB3BE2" w:rsidP="001C00DA" w14:paraId="145E2B82" w14:textId="77777777">
      <w:pPr>
        <w:rPr>
          <w:rFonts w:cs="Arial"/>
          <w:sz w:val="24"/>
          <w:szCs w:val="24"/>
        </w:rPr>
      </w:pPr>
      <w:r w:rsidRPr="00FB3BE2">
        <w:rPr>
          <w:rFonts w:cs="Arial"/>
          <w:sz w:val="24"/>
          <w:szCs w:val="24"/>
        </w:rPr>
        <w:t>With respect to a nonlawyer employed or retained by or associated with a lawyer:</w:t>
      </w:r>
    </w:p>
    <w:p w:rsidR="001C00DA" w:rsidRPr="00FB3BE2" w:rsidP="001C00DA" w14:paraId="7BB7D57E" w14:textId="77777777">
      <w:pPr>
        <w:ind w:firstLine="720"/>
        <w:rPr>
          <w:rFonts w:cs="Arial"/>
          <w:sz w:val="24"/>
          <w:szCs w:val="24"/>
        </w:rPr>
      </w:pPr>
      <w:r w:rsidRPr="00FB3BE2">
        <w:rPr>
          <w:rFonts w:cs="Arial"/>
          <w:b/>
          <w:bCs/>
          <w:sz w:val="24"/>
          <w:szCs w:val="24"/>
        </w:rPr>
        <w:t>(a)</w:t>
      </w:r>
      <w:r w:rsidRPr="00FB3BE2">
        <w:rPr>
          <w:rFonts w:cs="Arial"/>
          <w:sz w:val="24"/>
          <w:szCs w:val="24"/>
        </w:rPr>
        <w:t xml:space="preserve"> every lawyer, law firm or organization authorized by the Court Rules to practice law in this jurisdiction shall adopt and maintain reasonable efforts to ensure that the conduct of nonlawyers retained or employed by the lawyer, law firm or organization is compatible with the professional obligations of the lawyer.</w:t>
      </w:r>
    </w:p>
    <w:p w:rsidR="001C00DA" w:rsidRPr="00FB3BE2" w:rsidP="001C00DA" w14:paraId="5686369D" w14:textId="77777777">
      <w:pPr>
        <w:ind w:firstLine="720"/>
        <w:rPr>
          <w:rFonts w:cs="Arial"/>
          <w:sz w:val="24"/>
          <w:szCs w:val="24"/>
        </w:rPr>
      </w:pPr>
      <w:r w:rsidRPr="00FB3BE2">
        <w:rPr>
          <w:rFonts w:cs="Arial"/>
          <w:b/>
          <w:bCs/>
          <w:sz w:val="24"/>
          <w:szCs w:val="24"/>
        </w:rPr>
        <w:t>(b)</w:t>
      </w:r>
      <w:r w:rsidRPr="00FB3BE2">
        <w:rPr>
          <w:rFonts w:cs="Arial"/>
          <w:sz w:val="24"/>
          <w:szCs w:val="24"/>
        </w:rPr>
        <w:t xml:space="preserve"> a lawyer having direct supervisory authority over the nonlawyer shall make reasonable efforts to ensure that the person's conduct is compatible with the professional obligations of the lawyer; and</w:t>
      </w:r>
    </w:p>
    <w:p w:rsidR="001C00DA" w:rsidRPr="00FB3BE2" w:rsidP="001C00DA" w14:paraId="75E9F7FA" w14:textId="77777777">
      <w:pPr>
        <w:ind w:firstLine="720"/>
        <w:rPr>
          <w:rFonts w:cs="Arial"/>
          <w:sz w:val="24"/>
          <w:szCs w:val="24"/>
        </w:rPr>
      </w:pPr>
      <w:r w:rsidRPr="00FB3BE2">
        <w:rPr>
          <w:rFonts w:cs="Arial"/>
          <w:b/>
          <w:bCs/>
          <w:sz w:val="24"/>
          <w:szCs w:val="24"/>
        </w:rPr>
        <w:t>(c)</w:t>
      </w:r>
      <w:r w:rsidRPr="00FB3BE2">
        <w:rPr>
          <w:rFonts w:cs="Arial"/>
          <w:sz w:val="24"/>
          <w:szCs w:val="24"/>
        </w:rPr>
        <w:t xml:space="preserve"> a lawyer shall be responsible for conduct of such a person that would be a violation of the Rules of Professional Conduct if engaged in by a lawyer if:</w:t>
      </w:r>
    </w:p>
    <w:p w:rsidR="001C00DA" w:rsidRPr="00FB3BE2" w:rsidP="001C00DA" w14:paraId="2BDB34F2" w14:textId="77777777">
      <w:pPr>
        <w:ind w:left="720" w:firstLine="720"/>
        <w:rPr>
          <w:rFonts w:cs="Arial"/>
          <w:sz w:val="24"/>
          <w:szCs w:val="24"/>
        </w:rPr>
      </w:pPr>
      <w:r w:rsidRPr="00FB3BE2">
        <w:rPr>
          <w:rFonts w:cs="Arial"/>
          <w:b/>
          <w:bCs/>
          <w:sz w:val="24"/>
          <w:szCs w:val="24"/>
        </w:rPr>
        <w:t>(1)</w:t>
      </w:r>
      <w:r w:rsidRPr="00FB3BE2">
        <w:rPr>
          <w:rFonts w:cs="Arial"/>
          <w:sz w:val="24"/>
          <w:szCs w:val="24"/>
        </w:rPr>
        <w:t xml:space="preserve"> the lawyer orders or ratifies the conduct involved;</w:t>
      </w:r>
    </w:p>
    <w:p w:rsidR="001C00DA" w:rsidRPr="00FB3BE2" w:rsidP="001C00DA" w14:paraId="138AFCF6" w14:textId="77777777">
      <w:pPr>
        <w:ind w:left="720" w:firstLine="720"/>
        <w:rPr>
          <w:rFonts w:cs="Arial"/>
          <w:sz w:val="24"/>
          <w:szCs w:val="24"/>
        </w:rPr>
      </w:pPr>
      <w:r w:rsidRPr="00FB3BE2">
        <w:rPr>
          <w:rFonts w:cs="Arial"/>
          <w:b/>
          <w:bCs/>
          <w:sz w:val="24"/>
          <w:szCs w:val="24"/>
        </w:rPr>
        <w:t>(2)</w:t>
      </w:r>
      <w:r w:rsidRPr="00FB3BE2">
        <w:rPr>
          <w:rFonts w:cs="Arial"/>
          <w:sz w:val="24"/>
          <w:szCs w:val="24"/>
        </w:rPr>
        <w:t xml:space="preserve"> the lawyer has direct supervisory authority over the person and knows of the conduct at a time when its consequences can be avoided or mitigated but fails to take reasonable remedial action; or</w:t>
      </w:r>
    </w:p>
    <w:p w:rsidR="001C00DA" w:rsidRPr="00FB3BE2" w:rsidP="001C00DA" w14:paraId="56172310" w14:textId="77777777">
      <w:pPr>
        <w:ind w:left="720" w:firstLine="720"/>
        <w:rPr>
          <w:rFonts w:cs="Arial"/>
          <w:sz w:val="24"/>
          <w:szCs w:val="24"/>
        </w:rPr>
      </w:pPr>
      <w:r w:rsidRPr="00FB3BE2">
        <w:rPr>
          <w:rFonts w:cs="Arial"/>
          <w:b/>
          <w:bCs/>
          <w:sz w:val="24"/>
          <w:szCs w:val="24"/>
        </w:rPr>
        <w:t>(3)</w:t>
      </w:r>
      <w:r w:rsidRPr="00FB3BE2">
        <w:rPr>
          <w:rFonts w:cs="Arial"/>
          <w:sz w:val="24"/>
          <w:szCs w:val="24"/>
        </w:rPr>
        <w:t xml:space="preserve"> the lawyer has failed to make reasonable investigation of circumstances that would disclose past instances of conduct by the nonlawyer incompatible with the professional obligations of a lawyer, which evidence a propensity for such conduct.</w:t>
      </w:r>
    </w:p>
    <w:p w:rsidR="001C00DA" w:rsidRPr="00FB3BE2" w:rsidP="001C00DA" w14:paraId="50A8F168" w14:textId="77777777">
      <w:pPr>
        <w:rPr>
          <w:rFonts w:cs="Arial"/>
          <w:sz w:val="24"/>
          <w:szCs w:val="24"/>
        </w:rPr>
      </w:pPr>
      <w:r w:rsidRPr="00FB3BE2">
        <w:rPr>
          <w:rFonts w:cs="Arial"/>
          <w:b/>
          <w:bCs/>
          <w:sz w:val="24"/>
          <w:szCs w:val="24"/>
        </w:rPr>
        <w:t>Official Comment (August 1, 2016)</w:t>
      </w:r>
    </w:p>
    <w:p w:rsidR="001C00DA" w:rsidRPr="00FB3BE2" w:rsidP="001C00DA" w14:paraId="7C41FF64" w14:textId="77777777">
      <w:pPr>
        <w:rPr>
          <w:rFonts w:cs="Arial"/>
          <w:sz w:val="24"/>
          <w:szCs w:val="24"/>
        </w:rPr>
      </w:pPr>
      <w:r w:rsidRPr="00FB3BE2">
        <w:rPr>
          <w:rFonts w:cs="Arial"/>
          <w:sz w:val="24"/>
          <w:szCs w:val="24"/>
        </w:rPr>
        <w:t>Paragraph (a) requires lawyers with managerial authority within a law firm to make reasonable efforts to ensure that the firm has in effect measures giving reasonable assurance that nonlawyers in the firm and nonlawyers outside the firm who work on firm matters act in a way compatible with the professional obligations of the lawyer. Paragraph (b) applies to lawyers who have supervisory authority over such nonlawyers within or outside the firm. Paragraph (c) specifies the circumstances in which a lawyer is responsible for the conduct of such nonlawyers within or outside the firm that would be a violation of the Rules of Professional Conduct if engaged in by a lawyer.</w:t>
      </w:r>
    </w:p>
    <w:p w:rsidR="001C00DA" w:rsidRPr="00FB3BE2" w:rsidP="001C00DA" w14:paraId="0AEF8CA7" w14:textId="77777777">
      <w:pPr>
        <w:rPr>
          <w:rFonts w:cs="Arial"/>
          <w:sz w:val="24"/>
          <w:szCs w:val="24"/>
        </w:rPr>
      </w:pPr>
      <w:r w:rsidRPr="00FB3BE2">
        <w:rPr>
          <w:rFonts w:cs="Arial"/>
          <w:i/>
          <w:iCs/>
          <w:sz w:val="24"/>
          <w:szCs w:val="24"/>
        </w:rPr>
        <w:t>Nonlawyers Within the Firm</w:t>
      </w:r>
      <w:r w:rsidRPr="00FB3BE2">
        <w:rPr>
          <w:rFonts w:cs="Arial"/>
          <w:sz w:val="24"/>
          <w:szCs w:val="24"/>
        </w:rPr>
        <w:br/>
        <w:t>Lawyers generally employ assistants in their practice, including secretaries, investigators, law student interns, and paraprofessionals. Such assistants, whether employees or independent contractors, act for the lawyer in rendition of the lawyer’s professional services. A lawyer must give such assistants appropriate instruction and supervision concerning the ethical aspects of their employment, particularly regarding the obligation not to disclose information relating to representation of the client, and should be responsible for their work product. The measures employed in supervising nonlawyers should take account of the fact that they do not have legal training and are not subject to professional discipline.</w:t>
      </w:r>
    </w:p>
    <w:p w:rsidR="001C00DA" w:rsidRPr="00FB3BE2" w:rsidP="001C00DA" w14:paraId="22F396BF" w14:textId="77777777">
      <w:pPr>
        <w:rPr>
          <w:rFonts w:cs="Arial"/>
          <w:sz w:val="24"/>
          <w:szCs w:val="24"/>
        </w:rPr>
      </w:pPr>
      <w:r w:rsidRPr="00FB3BE2">
        <w:rPr>
          <w:rFonts w:cs="Arial"/>
          <w:i/>
          <w:iCs/>
          <w:sz w:val="24"/>
          <w:szCs w:val="24"/>
        </w:rPr>
        <w:t>Nonlawyers Outside the Firm</w:t>
      </w:r>
      <w:r w:rsidRPr="00FB3BE2">
        <w:rPr>
          <w:rFonts w:cs="Arial"/>
          <w:sz w:val="24"/>
          <w:szCs w:val="24"/>
        </w:rPr>
        <w:br/>
        <w:t>A lawyer may use nonlawyers outside the firm to assist the lawyer in rendering legal services to the client. Examples include the retention of an investigative or paraprofessional service, hiring a document management company to create and maintain a database for complex litigation, sending client documents to a third party for printing or scanning, and using an Internet</w:t>
      </w:r>
      <w:r>
        <w:rPr>
          <w:rFonts w:cs="Arial"/>
          <w:sz w:val="24"/>
          <w:szCs w:val="24"/>
        </w:rPr>
        <w:t xml:space="preserve">:  </w:t>
      </w:r>
      <w:r w:rsidRPr="00FB3BE2">
        <w:rPr>
          <w:rFonts w:cs="Arial"/>
          <w:sz w:val="24"/>
          <w:szCs w:val="24"/>
        </w:rPr>
        <w:t>based service to store client information. When using such services outside the firm, a lawyer must make reasonable efforts to ensure that the services are provided in a manner that is compatible with the lawyer’s professional obligations. The extent of this obligation will depend upon the circumstances, including the education, experience and reputation of the nonlawyer; the nature of the services involved; the terms of any arrangements concerning the protection of client information; and the legal and ethical environments of the jurisdiction in which the services will be performed, particularly with regard to confidentiality. When retaining or directing a nonlawyer outside the firm, a lawyer should communicate directions appropriate under the circumstances to give reasonable assurance that the nonlawyer’s conduct is compatible with the professional obligations of the lawyer.</w:t>
      </w:r>
    </w:p>
    <w:p w:rsidR="001C00DA" w:rsidRPr="00FB3BE2" w:rsidP="001C00DA" w14:paraId="75EADA13" w14:textId="77777777">
      <w:pPr>
        <w:rPr>
          <w:rFonts w:cs="Arial"/>
          <w:sz w:val="24"/>
          <w:szCs w:val="24"/>
        </w:rPr>
      </w:pPr>
      <w:r w:rsidRPr="00FB3BE2">
        <w:rPr>
          <w:rFonts w:cs="Arial"/>
          <w:sz w:val="24"/>
          <w:szCs w:val="24"/>
        </w:rPr>
        <w:t>Where the client directs the selection of a particular nonlawyer service provider outside the firm, the lawyer should reach an agreement in writing with the client concerning the allocation of responsibility for monitoring as between the client and the lawyer. When making such an allocation in a matter pending before a tribunal, lawyers and parties may have additional obligations that are a matter of law beyond the scope of these Rules.</w:t>
      </w:r>
    </w:p>
    <w:p w:rsidR="001C00DA" w:rsidRPr="00FB3BE2" w:rsidP="001C00DA" w14:paraId="4DBD100D" w14:textId="77777777">
      <w:pPr>
        <w:rPr>
          <w:rFonts w:cs="Arial"/>
          <w:i/>
          <w:iCs/>
          <w:sz w:val="24"/>
          <w:szCs w:val="24"/>
        </w:rPr>
      </w:pPr>
      <w:r w:rsidRPr="00FB3BE2">
        <w:rPr>
          <w:rFonts w:cs="Arial"/>
          <w:i/>
          <w:iCs/>
          <w:sz w:val="24"/>
          <w:szCs w:val="24"/>
        </w:rPr>
        <w:t>Note: Adopted July 12, 1984 to be effective September 10, 1984; paragraph (a) amended November 17, 2003 to be effective January 1, 2004; title amended and Official Comment adopted August 1, 2016 to be effective September 1, 2016.</w:t>
      </w:r>
    </w:p>
    <w:p w:rsidR="001C00DA" w:rsidRPr="00FB3BE2" w:rsidP="001C00DA" w14:paraId="3214A942" w14:textId="77777777">
      <w:pPr>
        <w:rPr>
          <w:rFonts w:cs="Arial"/>
          <w:b/>
          <w:bCs/>
          <w:sz w:val="24"/>
          <w:szCs w:val="24"/>
        </w:rPr>
      </w:pPr>
      <w:r w:rsidRPr="00FB3BE2">
        <w:rPr>
          <w:rFonts w:cs="Arial"/>
          <w:b/>
          <w:bCs/>
          <w:sz w:val="24"/>
          <w:szCs w:val="24"/>
        </w:rPr>
        <w:t>RPC 8.4 (c) (d) (g)</w:t>
      </w:r>
      <w:r w:rsidRPr="00FB3BE2">
        <w:rPr>
          <w:rFonts w:cs="Arial"/>
          <w:b/>
          <w:bCs/>
          <w:sz w:val="24"/>
          <w:szCs w:val="24"/>
        </w:rPr>
        <w:tab/>
        <w:t>Misconduct</w:t>
      </w:r>
    </w:p>
    <w:p w:rsidR="001C00DA" w:rsidRPr="00FB3BE2" w:rsidP="001C00DA" w14:paraId="5DAE1C98" w14:textId="77777777">
      <w:pPr>
        <w:rPr>
          <w:rFonts w:cs="Arial"/>
          <w:sz w:val="24"/>
          <w:szCs w:val="24"/>
        </w:rPr>
      </w:pPr>
      <w:r w:rsidRPr="00FB3BE2">
        <w:rPr>
          <w:rFonts w:cs="Arial"/>
          <w:sz w:val="24"/>
          <w:szCs w:val="24"/>
        </w:rPr>
        <w:t>It is professional misconduct for a lawyer to:</w:t>
      </w:r>
    </w:p>
    <w:p w:rsidR="001C00DA" w:rsidRPr="00FB3BE2" w:rsidP="001C00DA" w14:paraId="7B8BE854" w14:textId="77777777">
      <w:pPr>
        <w:ind w:firstLine="720"/>
        <w:rPr>
          <w:rFonts w:cs="Arial"/>
          <w:sz w:val="24"/>
          <w:szCs w:val="24"/>
        </w:rPr>
      </w:pPr>
      <w:r w:rsidRPr="00FB3BE2">
        <w:rPr>
          <w:rFonts w:cs="Arial"/>
          <w:b/>
          <w:bCs/>
          <w:sz w:val="24"/>
          <w:szCs w:val="24"/>
        </w:rPr>
        <w:t>(c)</w:t>
      </w:r>
      <w:r w:rsidRPr="00FB3BE2">
        <w:rPr>
          <w:rFonts w:cs="Arial"/>
          <w:sz w:val="24"/>
          <w:szCs w:val="24"/>
        </w:rPr>
        <w:t xml:space="preserve"> engage in conduct involving dishonesty, fraud, deceit or misrepresentation;</w:t>
      </w:r>
    </w:p>
    <w:p w:rsidR="001C00DA" w:rsidRPr="00FB3BE2" w:rsidP="001C00DA" w14:paraId="415CDB0C" w14:textId="77777777">
      <w:pPr>
        <w:ind w:firstLine="720"/>
        <w:rPr>
          <w:rFonts w:cs="Arial"/>
          <w:sz w:val="24"/>
          <w:szCs w:val="24"/>
        </w:rPr>
      </w:pPr>
      <w:r w:rsidRPr="00FB3BE2">
        <w:rPr>
          <w:rFonts w:cs="Arial"/>
          <w:b/>
          <w:bCs/>
          <w:sz w:val="24"/>
          <w:szCs w:val="24"/>
        </w:rPr>
        <w:t>(d)</w:t>
      </w:r>
      <w:r w:rsidRPr="00FB3BE2">
        <w:rPr>
          <w:rFonts w:cs="Arial"/>
          <w:sz w:val="24"/>
          <w:szCs w:val="24"/>
        </w:rPr>
        <w:t xml:space="preserve"> engage in conduct that is prejudicial to the administration of justice;</w:t>
      </w:r>
    </w:p>
    <w:p w:rsidR="001C00DA" w:rsidRPr="00FB3BE2" w:rsidP="001C00DA" w14:paraId="224C3101" w14:textId="77777777">
      <w:pPr>
        <w:ind w:firstLine="720"/>
        <w:rPr>
          <w:rFonts w:cs="Arial"/>
          <w:sz w:val="24"/>
          <w:szCs w:val="24"/>
        </w:rPr>
      </w:pPr>
      <w:r w:rsidRPr="00FB3BE2">
        <w:rPr>
          <w:rFonts w:cs="Arial"/>
          <w:b/>
          <w:bCs/>
          <w:sz w:val="24"/>
          <w:szCs w:val="24"/>
        </w:rPr>
        <w:t>(g)</w:t>
      </w:r>
      <w:r w:rsidRPr="00FB3BE2">
        <w:rPr>
          <w:rFonts w:cs="Arial"/>
          <w:sz w:val="24"/>
          <w:szCs w:val="24"/>
        </w:rPr>
        <w:t xml:space="preserve"> engage, in a professional capacity, in conduct involving discrimination (except employment discrimination unless resulting in a final agency or judicial determination) because of race, color, religion, age, sex, sexual orientation, national origin, language, marital status, socioeconomic status, or handicap where the conduct is intended or likely to cause harm.</w:t>
      </w:r>
    </w:p>
    <w:p w:rsidR="001C00DA" w:rsidRPr="00FB3BE2" w:rsidP="001C00DA" w14:paraId="1D35CF24" w14:textId="77777777">
      <w:pPr>
        <w:rPr>
          <w:rFonts w:cs="Arial"/>
          <w:sz w:val="24"/>
          <w:szCs w:val="24"/>
        </w:rPr>
      </w:pPr>
    </w:p>
    <w:p w:rsidR="001C00DA" w:rsidP="001C00DA" w14:paraId="3458597E" w14:textId="77777777">
      <w:pPr>
        <w:spacing w:after="0"/>
        <w:jc w:val="center"/>
        <w:rPr>
          <w:rFonts w:cs="Arial"/>
          <w:b/>
          <w:bCs/>
          <w:sz w:val="32"/>
          <w:szCs w:val="32"/>
        </w:rPr>
      </w:pPr>
      <w:r w:rsidRPr="001C00DA">
        <w:rPr>
          <w:rFonts w:cs="Arial"/>
          <w:b/>
          <w:bCs/>
          <w:sz w:val="32"/>
          <w:szCs w:val="32"/>
        </w:rPr>
        <w:t>Standards of Conduct for Mediations in</w:t>
      </w:r>
    </w:p>
    <w:p w:rsidR="001C00DA" w:rsidRPr="001C00DA" w:rsidP="001C00DA" w14:paraId="3C6E0034" w14:textId="77777777">
      <w:pPr>
        <w:spacing w:after="0"/>
        <w:jc w:val="center"/>
        <w:rPr>
          <w:rFonts w:cs="Arial"/>
          <w:b/>
          <w:bCs/>
          <w:sz w:val="32"/>
          <w:szCs w:val="32"/>
        </w:rPr>
      </w:pPr>
      <w:r w:rsidRPr="001C00DA">
        <w:rPr>
          <w:rFonts w:cs="Arial"/>
          <w:b/>
          <w:bCs/>
          <w:sz w:val="32"/>
          <w:szCs w:val="32"/>
        </w:rPr>
        <w:t xml:space="preserve"> Court—Connected Programs</w:t>
      </w:r>
    </w:p>
    <w:p w:rsidR="001C00DA" w:rsidRPr="00FB3BE2" w:rsidP="001C00DA" w14:paraId="0A7A49F6" w14:textId="77777777">
      <w:pPr>
        <w:spacing w:after="0"/>
        <w:jc w:val="both"/>
        <w:rPr>
          <w:rFonts w:cs="Arial"/>
          <w:sz w:val="24"/>
          <w:szCs w:val="24"/>
        </w:rPr>
      </w:pPr>
    </w:p>
    <w:p w:rsidR="001C00DA" w:rsidRPr="00FB3BE2" w:rsidP="001C00DA" w14:paraId="39A81906" w14:textId="77777777">
      <w:pPr>
        <w:spacing w:after="0"/>
        <w:rPr>
          <w:rFonts w:cs="Arial"/>
          <w:b/>
          <w:bCs/>
          <w:sz w:val="24"/>
          <w:szCs w:val="24"/>
        </w:rPr>
      </w:pPr>
      <w:r w:rsidRPr="00FB3BE2">
        <w:rPr>
          <w:rFonts w:cs="Arial"/>
          <w:b/>
          <w:bCs/>
          <w:sz w:val="24"/>
          <w:szCs w:val="24"/>
        </w:rPr>
        <w:t>Standards of Conduct for Mediations in Court—Connected Programs</w:t>
      </w:r>
    </w:p>
    <w:p w:rsidR="001C00DA" w:rsidRPr="00FB3BE2" w:rsidP="001C00DA" w14:paraId="00D4C3F0" w14:textId="77777777">
      <w:pPr>
        <w:spacing w:after="0"/>
        <w:rPr>
          <w:rFonts w:cs="Arial"/>
          <w:b/>
          <w:bCs/>
          <w:sz w:val="24"/>
          <w:szCs w:val="24"/>
        </w:rPr>
      </w:pPr>
      <w:r w:rsidRPr="00FB3BE2">
        <w:rPr>
          <w:rFonts w:cs="Arial"/>
          <w:b/>
          <w:bCs/>
          <w:sz w:val="24"/>
          <w:szCs w:val="24"/>
        </w:rPr>
        <w:t xml:space="preserve">III. Conflicts of Interest </w:t>
      </w:r>
    </w:p>
    <w:p w:rsidR="001C00DA" w:rsidRPr="00FB3BE2" w:rsidP="001C00DA" w14:paraId="7D6D8FF9" w14:textId="77777777">
      <w:pPr>
        <w:spacing w:after="0"/>
        <w:rPr>
          <w:rFonts w:cs="Arial"/>
          <w:sz w:val="24"/>
          <w:szCs w:val="24"/>
        </w:rPr>
      </w:pPr>
      <w:r w:rsidRPr="00FB3BE2">
        <w:rPr>
          <w:rFonts w:cs="Arial"/>
          <w:sz w:val="24"/>
          <w:szCs w:val="24"/>
        </w:rPr>
        <w:t xml:space="preserve">A mediator must disclose all actual and potential conflicts of interest reasonably known to the mediator. After disclosure, the mediator may proceed with the mediation only if all parties consent to mediate. Nonetheless, if the mediator believes that the conflict of interest casts doubt on the integrity of the mediation process, the mediator shall decline to proceed. </w:t>
      </w:r>
    </w:p>
    <w:p w:rsidR="001C00DA" w:rsidRPr="001C00DA" w:rsidP="001C00DA" w14:paraId="6F392FBA" w14:textId="77777777">
      <w:pPr>
        <w:pStyle w:val="ListParagraph"/>
        <w:numPr>
          <w:ilvl w:val="0"/>
          <w:numId w:val="2"/>
        </w:numPr>
        <w:spacing w:after="0"/>
        <w:rPr>
          <w:rFonts w:cs="Arial"/>
          <w:sz w:val="24"/>
          <w:szCs w:val="24"/>
        </w:rPr>
      </w:pPr>
      <w:r w:rsidRPr="00FB3BE2">
        <w:rPr>
          <w:rFonts w:cs="Arial"/>
          <w:sz w:val="24"/>
          <w:szCs w:val="24"/>
        </w:rPr>
        <w:t xml:space="preserve">A mediator shall </w:t>
      </w:r>
      <w:r w:rsidRPr="001C00DA">
        <w:rPr>
          <w:rFonts w:cs="Arial"/>
          <w:sz w:val="24"/>
          <w:szCs w:val="24"/>
        </w:rPr>
        <w:t xml:space="preserve">always avoid conflicts of interest when recommending the services of other professionals. If requested, a mediator may provide parties with information on professional referral services or associations that maintain rosters of qualified professionals. </w:t>
      </w:r>
    </w:p>
    <w:p w:rsidR="001C00DA" w:rsidP="001C00DA" w14:paraId="7FE8EA14" w14:textId="77777777">
      <w:pPr>
        <w:pStyle w:val="ListParagraph"/>
        <w:numPr>
          <w:ilvl w:val="0"/>
          <w:numId w:val="2"/>
        </w:numPr>
        <w:spacing w:after="0"/>
        <w:rPr>
          <w:rFonts w:cs="Arial"/>
          <w:sz w:val="24"/>
          <w:szCs w:val="24"/>
        </w:rPr>
      </w:pPr>
      <w:r w:rsidRPr="001C00DA">
        <w:rPr>
          <w:rFonts w:cs="Arial"/>
          <w:sz w:val="24"/>
          <w:szCs w:val="24"/>
        </w:rPr>
        <w:t>(1) Related Matters: A mediator who has served as a third party neutral, or any professional member of that mediator’s firm/office, shall not subsequently represent or provide professional services for any party to the mediation proceeding in the same matter or in any related matter. (2) Unrelated Matters: A</w:t>
      </w:r>
      <w:r w:rsidRPr="00FB3BE2">
        <w:rPr>
          <w:rFonts w:cs="Arial"/>
          <w:sz w:val="24"/>
          <w:szCs w:val="24"/>
        </w:rPr>
        <w:t xml:space="preserve"> mediator who has served as a third party neutral, or any professional member of that mediator’s firm/office, shall not subsequently represent or provide professional services for any party to the mediation proceeding in any unrelated matter for a period of six months, unless all parties consent after full disclosure. </w:t>
      </w:r>
    </w:p>
    <w:p w:rsidR="001C00DA" w:rsidRPr="001C00DA" w:rsidP="001C00DA" w14:paraId="2A69EB17" w14:textId="77777777">
      <w:pPr>
        <w:spacing w:after="0"/>
        <w:rPr>
          <w:rFonts w:cs="Arial"/>
          <w:sz w:val="24"/>
          <w:szCs w:val="24"/>
        </w:rPr>
      </w:pPr>
    </w:p>
    <w:p w:rsidR="001C00DA" w:rsidRPr="001C00DA" w:rsidP="001C00DA" w14:paraId="2568F6AE" w14:textId="71E1E20A">
      <w:pPr>
        <w:spacing w:after="0"/>
        <w:jc w:val="center"/>
        <w:rPr>
          <w:rFonts w:cs="Arial"/>
          <w:b/>
          <w:bCs/>
          <w:sz w:val="32"/>
          <w:szCs w:val="32"/>
        </w:rPr>
      </w:pPr>
      <w:r w:rsidRPr="001C00DA">
        <w:rPr>
          <w:rFonts w:cs="Arial"/>
          <w:b/>
          <w:bCs/>
          <w:sz w:val="32"/>
          <w:szCs w:val="32"/>
        </w:rPr>
        <w:t>NEW JERSEY COURT RULES</w:t>
      </w:r>
    </w:p>
    <w:p w:rsidR="001C00DA" w:rsidP="001C00DA" w14:paraId="09C1C33E" w14:textId="77777777">
      <w:pPr>
        <w:spacing w:after="0"/>
        <w:rPr>
          <w:rFonts w:cs="Arial"/>
          <w:b/>
          <w:bCs/>
          <w:sz w:val="24"/>
          <w:szCs w:val="24"/>
        </w:rPr>
      </w:pPr>
    </w:p>
    <w:p w:rsidR="001C00DA" w:rsidRPr="00FB3BE2" w:rsidP="001C00DA" w14:paraId="46CC3CF7" w14:textId="4714F32C">
      <w:pPr>
        <w:spacing w:after="0"/>
        <w:rPr>
          <w:rFonts w:cs="Arial"/>
          <w:b/>
          <w:bCs/>
          <w:sz w:val="24"/>
          <w:szCs w:val="24"/>
        </w:rPr>
      </w:pPr>
      <w:r w:rsidRPr="00FB3BE2">
        <w:rPr>
          <w:rFonts w:cs="Arial"/>
          <w:b/>
          <w:bCs/>
          <w:sz w:val="24"/>
          <w:szCs w:val="24"/>
        </w:rPr>
        <w:t xml:space="preserve">RULE 1:40. COMPLEMENTARY DISPURE RESOLOUTION PROGRAMS </w:t>
      </w:r>
    </w:p>
    <w:p w:rsidR="001C00DA" w:rsidRPr="00FB3BE2" w:rsidP="001C00DA" w14:paraId="244B9BB6" w14:textId="77777777">
      <w:pPr>
        <w:spacing w:after="0"/>
        <w:rPr>
          <w:rFonts w:cs="Arial"/>
          <w:b/>
          <w:bCs/>
          <w:sz w:val="24"/>
          <w:szCs w:val="24"/>
        </w:rPr>
      </w:pPr>
      <w:r w:rsidRPr="00FB3BE2">
        <w:rPr>
          <w:rFonts w:cs="Arial"/>
          <w:b/>
          <w:bCs/>
          <w:sz w:val="24"/>
          <w:szCs w:val="24"/>
        </w:rPr>
        <w:t>1:40</w:t>
      </w:r>
      <w:r>
        <w:rPr>
          <w:rFonts w:cs="Arial"/>
          <w:b/>
          <w:bCs/>
          <w:sz w:val="24"/>
          <w:szCs w:val="24"/>
        </w:rPr>
        <w:t xml:space="preserve">:  </w:t>
      </w:r>
      <w:r w:rsidRPr="00FB3BE2">
        <w:rPr>
          <w:rFonts w:cs="Arial"/>
          <w:b/>
          <w:bCs/>
          <w:sz w:val="24"/>
          <w:szCs w:val="24"/>
        </w:rPr>
        <w:t xml:space="preserve">4. Mediation – General Rules (f)(1)(a) </w:t>
      </w:r>
    </w:p>
    <w:p w:rsidR="001C00DA" w:rsidRPr="00FB3BE2" w:rsidP="001C00DA" w14:paraId="03A14FA4" w14:textId="77777777">
      <w:pPr>
        <w:spacing w:after="0"/>
        <w:rPr>
          <w:rFonts w:cs="Arial"/>
          <w:sz w:val="24"/>
          <w:szCs w:val="24"/>
        </w:rPr>
      </w:pPr>
      <w:r w:rsidRPr="00FB3BE2">
        <w:rPr>
          <w:rFonts w:cs="Arial"/>
          <w:sz w:val="24"/>
          <w:szCs w:val="24"/>
        </w:rPr>
        <w:t>Mediator Disclosure of Conflict of Interest.</w:t>
      </w:r>
    </w:p>
    <w:p w:rsidR="001C00DA" w:rsidRPr="00FB3BE2" w:rsidP="001C00DA" w14:paraId="5E78F4BC" w14:textId="77777777">
      <w:pPr>
        <w:pStyle w:val="ListParagraph"/>
        <w:numPr>
          <w:ilvl w:val="0"/>
          <w:numId w:val="3"/>
        </w:numPr>
        <w:spacing w:after="0"/>
        <w:rPr>
          <w:rFonts w:cs="Arial"/>
          <w:sz w:val="24"/>
          <w:szCs w:val="24"/>
        </w:rPr>
      </w:pPr>
      <w:r w:rsidRPr="00FB3BE2">
        <w:rPr>
          <w:rFonts w:cs="Arial"/>
          <w:sz w:val="24"/>
          <w:szCs w:val="24"/>
        </w:rPr>
        <w:t>Before accepting a mediation, a mediator shall:</w:t>
      </w:r>
    </w:p>
    <w:p w:rsidR="001C00DA" w:rsidRPr="00FB3BE2" w:rsidP="001C00DA" w14:paraId="6151A5F0" w14:textId="77777777">
      <w:pPr>
        <w:pStyle w:val="ListParagraph"/>
        <w:numPr>
          <w:ilvl w:val="1"/>
          <w:numId w:val="3"/>
        </w:numPr>
        <w:spacing w:after="0"/>
        <w:rPr>
          <w:rFonts w:cs="Arial"/>
          <w:sz w:val="24"/>
          <w:szCs w:val="24"/>
        </w:rPr>
      </w:pPr>
      <w:r w:rsidRPr="00FB3BE2">
        <w:rPr>
          <w:rFonts w:cs="Arial"/>
          <w:sz w:val="24"/>
          <w:szCs w:val="24"/>
        </w:rPr>
        <w:t xml:space="preserve">Make an inquiry that is reasonable under the circumstances to determine whether there are any known facts that a reasonable person would consider likely yo affect the impartiality of the mediator, including a financial or personal interest in the outcome of the mediation or an existing or past relationship with a mediation party or foreseeable participant in the mediation; and </w:t>
      </w:r>
    </w:p>
    <w:p w:rsidR="001C00DA" w:rsidRPr="00FB3BE2" w:rsidP="001C00DA" w14:paraId="1457D9A2" w14:textId="77777777">
      <w:pPr>
        <w:spacing w:after="0"/>
        <w:rPr>
          <w:rFonts w:cs="Arial"/>
          <w:sz w:val="24"/>
          <w:szCs w:val="24"/>
        </w:rPr>
      </w:pPr>
    </w:p>
    <w:p w:rsidR="001C00DA" w:rsidP="001C00DA" w14:paraId="6EEFC24D" w14:textId="77777777">
      <w:pPr>
        <w:rPr>
          <w:rFonts w:cs="Arial"/>
          <w:sz w:val="24"/>
          <w:szCs w:val="24"/>
        </w:rPr>
      </w:pPr>
    </w:p>
    <w:p w:rsidR="001C00DA" w:rsidRPr="00FB3BE2" w:rsidP="001C00DA" w14:paraId="7C1BDB4E" w14:textId="77777777">
      <w:pPr>
        <w:rPr>
          <w:rFonts w:cs="Arial"/>
          <w:sz w:val="24"/>
          <w:szCs w:val="24"/>
        </w:rPr>
      </w:pPr>
    </w:p>
    <w:p w:rsidR="001C00DA" w:rsidRPr="00FB3BE2" w:rsidP="001C00DA" w14:paraId="7EFDE933" w14:textId="77777777">
      <w:pPr>
        <w:spacing w:after="0"/>
        <w:rPr>
          <w:rFonts w:cs="Arial"/>
          <w:sz w:val="24"/>
          <w:szCs w:val="24"/>
        </w:rPr>
      </w:pPr>
    </w:p>
    <w:sectPr>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3423" w14:paraId="5690141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512357"/>
      <w:docPartObj>
        <w:docPartGallery w:val="Page Numbers (Bottom of Page)"/>
        <w:docPartUnique/>
      </w:docPartObj>
    </w:sdtPr>
    <w:sdtContent>
      <w:sdt>
        <w:sdtPr>
          <w:id w:val="1728636285"/>
          <w:docPartObj>
            <w:docPartGallery w:val="Page Numbers (Top of Page)"/>
            <w:docPartUnique/>
          </w:docPartObj>
        </w:sdtPr>
        <w:sdtContent>
          <w:p w:rsidR="001C00DA" w14:paraId="45A2A6C2" w14:textId="644ABF6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1342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13423">
              <w:rPr>
                <w:b/>
                <w:bCs/>
                <w:noProof/>
              </w:rPr>
              <w:t>2</w:t>
            </w:r>
            <w:r>
              <w:rPr>
                <w:b/>
                <w:bCs/>
                <w:sz w:val="24"/>
                <w:szCs w:val="24"/>
              </w:rPr>
              <w:fldChar w:fldCharType="end"/>
            </w:r>
          </w:p>
        </w:sdtContent>
      </w:sdt>
    </w:sdtContent>
  </w:sdt>
  <w:p w:rsidR="001C00DA" w14:paraId="5A8524F1"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3423" w14:paraId="087118B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3423" w14:paraId="38F00D3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3423" w14:paraId="1BC454C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3423" w14:paraId="4CCD3B3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4A3229"/>
    <w:multiLevelType w:val="hybridMultilevel"/>
    <w:tmpl w:val="7B3040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DF5B57"/>
    <w:multiLevelType w:val="hybridMultilevel"/>
    <w:tmpl w:val="1BA4E7A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E2079D2"/>
    <w:multiLevelType w:val="hybridMultilevel"/>
    <w:tmpl w:val="93F24DE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0DA"/>
    <w:rsid w:val="001C00DA"/>
    <w:rsid w:val="00463300"/>
    <w:rsid w:val="005D0DE2"/>
    <w:rsid w:val="00913423"/>
    <w:rsid w:val="00A14FC8"/>
    <w:rsid w:val="00BE6464"/>
    <w:rsid w:val="00D67B45"/>
    <w:rsid w:val="00FB3B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2DE7556"/>
  <w15:chartTrackingRefBased/>
  <w15:docId w15:val="{4ED8A0EB-1D34-4086-B891-7D7683CA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0DA"/>
    <w:pPr>
      <w:spacing w:line="259" w:lineRule="auto"/>
    </w:pPr>
    <w:rPr>
      <w:sz w:val="22"/>
      <w:szCs w:val="22"/>
    </w:rPr>
  </w:style>
  <w:style w:type="paragraph" w:styleId="Heading1">
    <w:name w:val="heading 1"/>
    <w:basedOn w:val="Normal"/>
    <w:next w:val="Normal"/>
    <w:link w:val="Heading1Char"/>
    <w:uiPriority w:val="9"/>
    <w:qFormat/>
    <w:rsid w:val="001C00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00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00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00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00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00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00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00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00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0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00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00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00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00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00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00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00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00DA"/>
    <w:rPr>
      <w:rFonts w:eastAsiaTheme="majorEastAsia" w:cstheme="majorBidi"/>
      <w:color w:val="272727" w:themeColor="text1" w:themeTint="D8"/>
    </w:rPr>
  </w:style>
  <w:style w:type="paragraph" w:styleId="Title">
    <w:name w:val="Title"/>
    <w:basedOn w:val="Normal"/>
    <w:next w:val="Normal"/>
    <w:link w:val="TitleChar"/>
    <w:uiPriority w:val="10"/>
    <w:qFormat/>
    <w:rsid w:val="001C00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0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00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00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00DA"/>
    <w:pPr>
      <w:spacing w:before="160"/>
      <w:jc w:val="center"/>
    </w:pPr>
    <w:rPr>
      <w:i/>
      <w:iCs/>
      <w:color w:val="404040" w:themeColor="text1" w:themeTint="BF"/>
    </w:rPr>
  </w:style>
  <w:style w:type="character" w:customStyle="1" w:styleId="QuoteChar">
    <w:name w:val="Quote Char"/>
    <w:basedOn w:val="DefaultParagraphFont"/>
    <w:link w:val="Quote"/>
    <w:uiPriority w:val="29"/>
    <w:rsid w:val="001C00DA"/>
    <w:rPr>
      <w:i/>
      <w:iCs/>
      <w:color w:val="404040" w:themeColor="text1" w:themeTint="BF"/>
    </w:rPr>
  </w:style>
  <w:style w:type="paragraph" w:styleId="ListParagraph">
    <w:name w:val="List Paragraph"/>
    <w:basedOn w:val="Normal"/>
    <w:uiPriority w:val="34"/>
    <w:qFormat/>
    <w:rsid w:val="001C00DA"/>
    <w:pPr>
      <w:ind w:left="720"/>
      <w:contextualSpacing/>
    </w:pPr>
  </w:style>
  <w:style w:type="character" w:styleId="IntenseEmphasis">
    <w:name w:val="Intense Emphasis"/>
    <w:basedOn w:val="DefaultParagraphFont"/>
    <w:uiPriority w:val="21"/>
    <w:qFormat/>
    <w:rsid w:val="001C00DA"/>
    <w:rPr>
      <w:i/>
      <w:iCs/>
      <w:color w:val="0F4761" w:themeColor="accent1" w:themeShade="BF"/>
    </w:rPr>
  </w:style>
  <w:style w:type="paragraph" w:styleId="IntenseQuote">
    <w:name w:val="Intense Quote"/>
    <w:basedOn w:val="Normal"/>
    <w:next w:val="Normal"/>
    <w:link w:val="IntenseQuoteChar"/>
    <w:uiPriority w:val="30"/>
    <w:qFormat/>
    <w:rsid w:val="001C00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00DA"/>
    <w:rPr>
      <w:i/>
      <w:iCs/>
      <w:color w:val="0F4761" w:themeColor="accent1" w:themeShade="BF"/>
    </w:rPr>
  </w:style>
  <w:style w:type="character" w:styleId="IntenseReference">
    <w:name w:val="Intense Reference"/>
    <w:basedOn w:val="DefaultParagraphFont"/>
    <w:uiPriority w:val="32"/>
    <w:qFormat/>
    <w:rsid w:val="001C00DA"/>
    <w:rPr>
      <w:b/>
      <w:bCs/>
      <w:smallCaps/>
      <w:color w:val="0F4761" w:themeColor="accent1" w:themeShade="BF"/>
      <w:spacing w:val="5"/>
    </w:rPr>
  </w:style>
  <w:style w:type="paragraph" w:styleId="Header">
    <w:name w:val="header"/>
    <w:basedOn w:val="Normal"/>
    <w:link w:val="HeaderChar"/>
    <w:uiPriority w:val="99"/>
    <w:unhideWhenUsed/>
    <w:rsid w:val="001C00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0DA"/>
    <w:rPr>
      <w:sz w:val="22"/>
      <w:szCs w:val="22"/>
    </w:rPr>
  </w:style>
  <w:style w:type="paragraph" w:styleId="Footer">
    <w:name w:val="footer"/>
    <w:basedOn w:val="Normal"/>
    <w:link w:val="FooterChar"/>
    <w:uiPriority w:val="99"/>
    <w:unhideWhenUsed/>
    <w:rsid w:val="001C00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0D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3596</Words>
  <Characters>20502</Characters>
  <Application>Microsoft Office Word</Application>
  <DocSecurity>0</DocSecurity>
  <Lines>170</Lines>
  <Paragraphs>48</Paragraphs>
  <ScaleCrop>false</ScaleCrop>
  <Company/>
  <LinksUpToDate>false</LinksUpToDate>
  <CharactersWithSpaces>24050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2024-10-08T00:47:09Z</dcterms:created>
  <dcterms:modified xsi:type="dcterms:W3CDTF">2024-10-08T00:47:09Z</dcterms:modified>
</cp:coreProperties>
</file>