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761E1" w14:textId="16F25578" w:rsidR="0027628C" w:rsidRDefault="00C51A91" w:rsidP="00580BF9">
      <w:pPr>
        <w:jc w:val="center"/>
        <w:rPr>
          <w:rFonts w:ascii="Times New Roman" w:eastAsia="Times New Roman" w:hAnsi="Times New Roman" w:cs="Times New Roman"/>
          <w:b/>
          <w:bCs/>
          <w:color w:val="000000"/>
          <w:sz w:val="28"/>
          <w:u w:val="single"/>
        </w:rPr>
      </w:pPr>
      <w:r w:rsidRPr="009B237F">
        <w:rPr>
          <w:rFonts w:ascii="Times New Roman" w:eastAsia="Times New Roman" w:hAnsi="Times New Roman" w:cs="Times New Roman"/>
          <w:b/>
          <w:bCs/>
          <w:color w:val="000000"/>
          <w:sz w:val="28"/>
          <w:u w:val="single"/>
        </w:rPr>
        <w:t xml:space="preserve">Giles S. Rich and Coke Inns of Court </w:t>
      </w:r>
      <w:r w:rsidR="001B70CB" w:rsidRPr="009B237F">
        <w:rPr>
          <w:rFonts w:ascii="Times New Roman" w:eastAsia="Times New Roman" w:hAnsi="Times New Roman" w:cs="Times New Roman"/>
          <w:b/>
          <w:bCs/>
          <w:color w:val="000000"/>
          <w:sz w:val="28"/>
          <w:u w:val="single"/>
        </w:rPr>
        <w:t xml:space="preserve">Joint </w:t>
      </w:r>
      <w:r w:rsidRPr="009B237F">
        <w:rPr>
          <w:rFonts w:ascii="Times New Roman" w:eastAsia="Times New Roman" w:hAnsi="Times New Roman" w:cs="Times New Roman"/>
          <w:b/>
          <w:bCs/>
          <w:color w:val="000000"/>
          <w:sz w:val="28"/>
          <w:u w:val="single"/>
        </w:rPr>
        <w:t>Meeting</w:t>
      </w:r>
      <w:r w:rsidR="000A5C39" w:rsidRPr="009B237F">
        <w:rPr>
          <w:rFonts w:ascii="Times New Roman" w:eastAsia="Times New Roman" w:hAnsi="Times New Roman" w:cs="Times New Roman"/>
          <w:b/>
          <w:bCs/>
          <w:color w:val="000000"/>
          <w:sz w:val="28"/>
          <w:u w:val="single"/>
        </w:rPr>
        <w:t xml:space="preserve"> Handout</w:t>
      </w:r>
      <w:r w:rsidR="007C436F" w:rsidRPr="009B237F">
        <w:rPr>
          <w:rFonts w:ascii="Times New Roman" w:eastAsia="Times New Roman" w:hAnsi="Times New Roman" w:cs="Times New Roman"/>
          <w:b/>
          <w:bCs/>
          <w:color w:val="000000"/>
          <w:sz w:val="28"/>
          <w:u w:val="single"/>
        </w:rPr>
        <w:t xml:space="preserve"> – </w:t>
      </w:r>
      <w:r w:rsidR="001B70CB" w:rsidRPr="009B237F">
        <w:rPr>
          <w:rFonts w:ascii="Times New Roman" w:eastAsia="Times New Roman" w:hAnsi="Times New Roman" w:cs="Times New Roman"/>
          <w:b/>
          <w:bCs/>
          <w:color w:val="000000"/>
          <w:sz w:val="28"/>
          <w:u w:val="single"/>
        </w:rPr>
        <w:t>Jan</w:t>
      </w:r>
      <w:r w:rsidR="001B70CB">
        <w:rPr>
          <w:rFonts w:ascii="Times New Roman" w:eastAsia="Times New Roman" w:hAnsi="Times New Roman" w:cs="Times New Roman"/>
          <w:b/>
          <w:bCs/>
          <w:color w:val="000000"/>
          <w:sz w:val="28"/>
          <w:u w:val="single"/>
        </w:rPr>
        <w:t>.</w:t>
      </w:r>
      <w:r w:rsidR="001B70CB" w:rsidRPr="009B237F">
        <w:rPr>
          <w:rFonts w:ascii="Times New Roman" w:eastAsia="Times New Roman" w:hAnsi="Times New Roman" w:cs="Times New Roman"/>
          <w:b/>
          <w:bCs/>
          <w:color w:val="000000"/>
          <w:sz w:val="28"/>
          <w:u w:val="single"/>
        </w:rPr>
        <w:t xml:space="preserve"> </w:t>
      </w:r>
      <w:r w:rsidRPr="009B237F">
        <w:rPr>
          <w:rFonts w:ascii="Times New Roman" w:eastAsia="Times New Roman" w:hAnsi="Times New Roman" w:cs="Times New Roman"/>
          <w:b/>
          <w:bCs/>
          <w:color w:val="000000"/>
          <w:sz w:val="28"/>
          <w:u w:val="single"/>
        </w:rPr>
        <w:t>10, 2019</w:t>
      </w:r>
    </w:p>
    <w:p w14:paraId="69C598C2" w14:textId="19F6447D" w:rsidR="00D21DAB" w:rsidRPr="00D21DAB" w:rsidRDefault="00D21DAB" w:rsidP="00D21DAB">
      <w:pPr>
        <w:jc w:val="both"/>
        <w:rPr>
          <w:rFonts w:ascii="Times New Roman" w:eastAsia="Times New Roman" w:hAnsi="Times New Roman" w:cs="Times New Roman"/>
          <w:bCs/>
          <w:color w:val="000000"/>
        </w:rPr>
      </w:pPr>
    </w:p>
    <w:p w14:paraId="17AE2549" w14:textId="451D6F06" w:rsidR="00D21DAB" w:rsidRPr="00E603DA" w:rsidRDefault="00D21DAB" w:rsidP="00D21DAB">
      <w:pPr>
        <w:jc w:val="both"/>
        <w:rPr>
          <w:rFonts w:eastAsia="Times New Roman" w:cstheme="minorHAnsi"/>
          <w:bCs/>
          <w:color w:val="000000"/>
        </w:rPr>
      </w:pPr>
      <w:r w:rsidRPr="00E603DA">
        <w:rPr>
          <w:rFonts w:eastAsia="Times New Roman" w:cstheme="minorHAnsi"/>
          <w:bCs/>
          <w:color w:val="000000"/>
          <w:u w:val="single"/>
        </w:rPr>
        <w:t>Moderator</w:t>
      </w:r>
      <w:r w:rsidRPr="00E603DA">
        <w:rPr>
          <w:rFonts w:eastAsia="Times New Roman" w:cstheme="minorHAnsi"/>
          <w:bCs/>
          <w:color w:val="000000"/>
        </w:rPr>
        <w:t>:</w:t>
      </w:r>
      <w:r w:rsidRPr="00E603DA">
        <w:rPr>
          <w:rFonts w:eastAsia="Times New Roman" w:cstheme="minorHAnsi"/>
          <w:bCs/>
          <w:color w:val="000000"/>
        </w:rPr>
        <w:tab/>
        <w:t xml:space="preserve">The Honorable Kathleen O’Malley, U.S. Court of Appeals for the Federal Circuit </w:t>
      </w:r>
    </w:p>
    <w:p w14:paraId="703CA17C" w14:textId="692CF597" w:rsidR="00D21DAB" w:rsidRPr="00E603DA" w:rsidRDefault="00D21DAB" w:rsidP="00D21DAB">
      <w:pPr>
        <w:jc w:val="both"/>
        <w:rPr>
          <w:rFonts w:eastAsia="Times New Roman" w:cstheme="minorHAnsi"/>
          <w:bCs/>
          <w:color w:val="000000"/>
        </w:rPr>
      </w:pPr>
      <w:r w:rsidRPr="00E603DA">
        <w:rPr>
          <w:rFonts w:eastAsia="Times New Roman" w:cstheme="minorHAnsi"/>
          <w:bCs/>
          <w:color w:val="000000"/>
          <w:u w:val="single"/>
        </w:rPr>
        <w:t>Panelists</w:t>
      </w:r>
      <w:r w:rsidRPr="00E603DA">
        <w:rPr>
          <w:rFonts w:eastAsia="Times New Roman" w:cstheme="minorHAnsi"/>
          <w:bCs/>
          <w:color w:val="000000"/>
        </w:rPr>
        <w:t>:</w:t>
      </w:r>
      <w:r w:rsidRPr="00E603DA">
        <w:rPr>
          <w:rFonts w:eastAsia="Times New Roman" w:cstheme="minorHAnsi"/>
          <w:bCs/>
          <w:color w:val="000000"/>
        </w:rPr>
        <w:tab/>
        <w:t>The Honorable Paul Friedman, U.S. District Court for the District of Columbia</w:t>
      </w:r>
    </w:p>
    <w:p w14:paraId="2217372E" w14:textId="706F1319" w:rsidR="00D21DAB" w:rsidRPr="00E603DA" w:rsidRDefault="00D21DAB" w:rsidP="00E603DA">
      <w:pPr>
        <w:ind w:left="1440"/>
        <w:jc w:val="both"/>
        <w:rPr>
          <w:rFonts w:eastAsia="Times New Roman" w:cstheme="minorHAnsi"/>
          <w:bCs/>
          <w:color w:val="000000"/>
        </w:rPr>
      </w:pPr>
      <w:r w:rsidRPr="00E603DA">
        <w:rPr>
          <w:rFonts w:eastAsia="Times New Roman" w:cstheme="minorHAnsi"/>
          <w:bCs/>
          <w:color w:val="000000"/>
        </w:rPr>
        <w:t xml:space="preserve">Christopher Walker, Associate Professor of Law, </w:t>
      </w:r>
      <w:proofErr w:type="gramStart"/>
      <w:r w:rsidRPr="00E603DA">
        <w:rPr>
          <w:rFonts w:eastAsia="Times New Roman" w:cstheme="minorHAnsi"/>
          <w:bCs/>
          <w:color w:val="000000"/>
        </w:rPr>
        <w:t>The</w:t>
      </w:r>
      <w:proofErr w:type="gramEnd"/>
      <w:r w:rsidRPr="00E603DA">
        <w:rPr>
          <w:rFonts w:eastAsia="Times New Roman" w:cstheme="minorHAnsi"/>
          <w:bCs/>
          <w:color w:val="000000"/>
        </w:rPr>
        <w:t xml:space="preserve"> Ohio State University Moritz College of Law </w:t>
      </w:r>
    </w:p>
    <w:p w14:paraId="364D495D" w14:textId="601B1CB9" w:rsidR="00D21DAB" w:rsidRPr="00E603DA" w:rsidRDefault="00D21DAB" w:rsidP="00D21DAB">
      <w:pPr>
        <w:jc w:val="both"/>
        <w:rPr>
          <w:rFonts w:eastAsia="Times New Roman" w:cstheme="minorHAnsi"/>
          <w:bCs/>
          <w:color w:val="000000"/>
        </w:rPr>
      </w:pPr>
      <w:r w:rsidRPr="00E603DA">
        <w:rPr>
          <w:rFonts w:eastAsia="Times New Roman" w:cstheme="minorHAnsi"/>
          <w:bCs/>
          <w:color w:val="000000"/>
        </w:rPr>
        <w:tab/>
      </w:r>
      <w:r w:rsidRPr="00E603DA">
        <w:rPr>
          <w:rFonts w:eastAsia="Times New Roman" w:cstheme="minorHAnsi"/>
          <w:bCs/>
          <w:color w:val="000000"/>
        </w:rPr>
        <w:tab/>
      </w:r>
      <w:r w:rsidRPr="00E603DA">
        <w:rPr>
          <w:rFonts w:cstheme="minorHAnsi"/>
          <w:color w:val="000000"/>
        </w:rPr>
        <w:t xml:space="preserve">Beth </w:t>
      </w:r>
      <w:proofErr w:type="spellStart"/>
      <w:r w:rsidRPr="00E603DA">
        <w:rPr>
          <w:rFonts w:cstheme="minorHAnsi"/>
          <w:color w:val="000000"/>
        </w:rPr>
        <w:t>Brinkman</w:t>
      </w:r>
      <w:r w:rsidR="00877838">
        <w:rPr>
          <w:rFonts w:cstheme="minorHAnsi"/>
          <w:color w:val="000000"/>
        </w:rPr>
        <w:t>n</w:t>
      </w:r>
      <w:proofErr w:type="spellEnd"/>
      <w:r w:rsidRPr="00E603DA">
        <w:rPr>
          <w:rFonts w:cstheme="minorHAnsi"/>
          <w:color w:val="000000"/>
        </w:rPr>
        <w:t>, Partner, Covington &amp; Burling LLP</w:t>
      </w:r>
    </w:p>
    <w:p w14:paraId="1662C451" w14:textId="615E5996" w:rsidR="0027628C" w:rsidRPr="007C436F" w:rsidRDefault="0027628C" w:rsidP="0027628C">
      <w:pPr>
        <w:ind w:left="1800"/>
        <w:textAlignment w:val="baseline"/>
        <w:rPr>
          <w:rFonts w:ascii="Times New Roman" w:eastAsia="Times New Roman" w:hAnsi="Times New Roman" w:cs="Times New Roman"/>
          <w:color w:val="212121"/>
        </w:rPr>
      </w:pPr>
    </w:p>
    <w:p w14:paraId="66120727" w14:textId="7989C9DF" w:rsidR="00F54279" w:rsidRPr="009B237F" w:rsidRDefault="00BE09CE" w:rsidP="0027628C">
      <w:pPr>
        <w:numPr>
          <w:ilvl w:val="0"/>
          <w:numId w:val="31"/>
        </w:numPr>
        <w:textAlignment w:val="baseline"/>
        <w:rPr>
          <w:rFonts w:ascii="Times New Roman" w:eastAsia="Times New Roman" w:hAnsi="Times New Roman" w:cs="Times New Roman"/>
          <w:color w:val="212121"/>
          <w:sz w:val="28"/>
        </w:rPr>
      </w:pPr>
      <w:r w:rsidRPr="009B237F">
        <w:rPr>
          <w:rFonts w:ascii="Times New Roman" w:eastAsia="Times New Roman" w:hAnsi="Times New Roman" w:cs="Times New Roman"/>
          <w:iCs/>
          <w:color w:val="000000"/>
          <w:sz w:val="28"/>
        </w:rPr>
        <w:t xml:space="preserve">Deference to Interpretations of Administrative Agencies:  </w:t>
      </w:r>
      <w:r w:rsidR="008C3B49">
        <w:rPr>
          <w:rFonts w:ascii="Times New Roman" w:eastAsia="Times New Roman" w:hAnsi="Times New Roman" w:cs="Times New Roman"/>
          <w:i/>
          <w:iCs/>
          <w:color w:val="000000"/>
          <w:sz w:val="28"/>
        </w:rPr>
        <w:t>Skidmore</w:t>
      </w:r>
      <w:r w:rsidR="008C3B49">
        <w:rPr>
          <w:rFonts w:ascii="Times New Roman" w:eastAsia="Times New Roman" w:hAnsi="Times New Roman" w:cs="Times New Roman"/>
          <w:iCs/>
          <w:color w:val="000000"/>
          <w:sz w:val="28"/>
        </w:rPr>
        <w:t>,</w:t>
      </w:r>
      <w:r w:rsidRPr="009B237F">
        <w:rPr>
          <w:rFonts w:ascii="Times New Roman" w:eastAsia="Times New Roman" w:hAnsi="Times New Roman" w:cs="Times New Roman"/>
          <w:iCs/>
          <w:color w:val="000000"/>
          <w:sz w:val="28"/>
        </w:rPr>
        <w:t xml:space="preserve"> </w:t>
      </w:r>
      <w:r w:rsidR="00E603DA" w:rsidRPr="009B237F">
        <w:rPr>
          <w:rFonts w:ascii="Times New Roman" w:eastAsia="Times New Roman" w:hAnsi="Times New Roman" w:cs="Times New Roman"/>
          <w:i/>
          <w:iCs/>
          <w:color w:val="000000"/>
          <w:sz w:val="28"/>
        </w:rPr>
        <w:t>Chevron</w:t>
      </w:r>
      <w:r w:rsidR="00E603DA">
        <w:rPr>
          <w:rFonts w:ascii="Times New Roman" w:eastAsia="Times New Roman" w:hAnsi="Times New Roman" w:cs="Times New Roman"/>
          <w:iCs/>
          <w:color w:val="000000"/>
          <w:sz w:val="28"/>
        </w:rPr>
        <w:t xml:space="preserve">, </w:t>
      </w:r>
      <w:r w:rsidRPr="009B237F">
        <w:rPr>
          <w:rFonts w:ascii="Times New Roman" w:eastAsia="Times New Roman" w:hAnsi="Times New Roman" w:cs="Times New Roman"/>
          <w:iCs/>
          <w:color w:val="000000"/>
          <w:sz w:val="28"/>
        </w:rPr>
        <w:t xml:space="preserve">and </w:t>
      </w:r>
      <w:r w:rsidRPr="009B237F">
        <w:rPr>
          <w:rFonts w:ascii="Times New Roman" w:eastAsia="Times New Roman" w:hAnsi="Times New Roman" w:cs="Times New Roman"/>
          <w:i/>
          <w:iCs/>
          <w:color w:val="000000"/>
          <w:sz w:val="28"/>
        </w:rPr>
        <w:t>Auer</w:t>
      </w:r>
    </w:p>
    <w:p w14:paraId="5CA9580E" w14:textId="77777777" w:rsidR="0027628C" w:rsidRPr="007C436F" w:rsidRDefault="0027628C" w:rsidP="0027628C">
      <w:pPr>
        <w:ind w:left="360"/>
        <w:textAlignment w:val="baseline"/>
        <w:rPr>
          <w:rFonts w:ascii="Times New Roman" w:eastAsia="Times New Roman" w:hAnsi="Times New Roman" w:cs="Times New Roman"/>
          <w:color w:val="212121"/>
        </w:rPr>
      </w:pPr>
    </w:p>
    <w:p w14:paraId="25B94FFA" w14:textId="2AA530A3" w:rsidR="00E603DA" w:rsidRPr="00E603DA" w:rsidRDefault="00E603DA" w:rsidP="00EF2C8E">
      <w:pPr>
        <w:numPr>
          <w:ilvl w:val="1"/>
          <w:numId w:val="31"/>
        </w:numPr>
        <w:jc w:val="both"/>
        <w:textAlignment w:val="baseline"/>
        <w:rPr>
          <w:rFonts w:ascii="Times New Roman" w:eastAsia="Times New Roman" w:hAnsi="Times New Roman" w:cs="Times New Roman"/>
          <w:color w:val="212121"/>
        </w:rPr>
      </w:pPr>
      <w:r w:rsidRPr="009372B7">
        <w:rPr>
          <w:bCs/>
          <w:i/>
          <w:iCs/>
        </w:rPr>
        <w:t>Skidmore v. Swift &amp; Co.</w:t>
      </w:r>
      <w:r w:rsidRPr="009372B7">
        <w:rPr>
          <w:bCs/>
        </w:rPr>
        <w:t>, 323 U.S. 134 (1944)</w:t>
      </w:r>
      <w:r>
        <w:rPr>
          <w:bCs/>
        </w:rPr>
        <w:t xml:space="preserve"> (Jackson, J.)</w:t>
      </w:r>
      <w:r w:rsidRPr="009372B7">
        <w:rPr>
          <w:bCs/>
        </w:rPr>
        <w:t xml:space="preserve">: </w:t>
      </w:r>
      <w:r>
        <w:rPr>
          <w:b/>
          <w:bCs/>
        </w:rPr>
        <w:t xml:space="preserve"> </w:t>
      </w:r>
      <w:r>
        <w:t>In </w:t>
      </w:r>
      <w:r>
        <w:rPr>
          <w:i/>
          <w:iCs/>
        </w:rPr>
        <w:t>Skidmore</w:t>
      </w:r>
      <w:r>
        <w:t>, the Court acknowledged that no statutory provision stated what deference courts should apply in reviewing an administrator’s guidance.  Thus the Court developed a new rule that an administrative agency’s interpretative rules deserve deference according to their persuasiveness. The Court adopted a case-by-case test that considers: (1) the thoroughness of the agency’s investigation; (2) the validity of its reasoning; (3) the consistency of its interpretation over time; and (4) other persuasive powers of the agency.</w:t>
      </w:r>
    </w:p>
    <w:p w14:paraId="1E47A646" w14:textId="77777777" w:rsidR="00E603DA" w:rsidRPr="00E603DA" w:rsidRDefault="00E603DA" w:rsidP="00E603DA">
      <w:pPr>
        <w:ind w:left="1080"/>
        <w:jc w:val="both"/>
        <w:textAlignment w:val="baseline"/>
        <w:rPr>
          <w:rFonts w:ascii="Times New Roman" w:eastAsia="Times New Roman" w:hAnsi="Times New Roman" w:cs="Times New Roman"/>
          <w:color w:val="212121"/>
        </w:rPr>
      </w:pPr>
    </w:p>
    <w:p w14:paraId="67A3F8B6" w14:textId="6CC391B2" w:rsidR="00EF2C8E" w:rsidRPr="007C436F" w:rsidRDefault="00EF2C8E" w:rsidP="00EF2C8E">
      <w:pPr>
        <w:numPr>
          <w:ilvl w:val="1"/>
          <w:numId w:val="31"/>
        </w:numPr>
        <w:jc w:val="both"/>
        <w:textAlignment w:val="baseline"/>
        <w:rPr>
          <w:rFonts w:ascii="Times New Roman" w:eastAsia="Times New Roman" w:hAnsi="Times New Roman" w:cs="Times New Roman"/>
          <w:color w:val="212121"/>
        </w:rPr>
      </w:pPr>
      <w:r w:rsidRPr="007C436F">
        <w:rPr>
          <w:rFonts w:ascii="Times New Roman" w:eastAsia="Times New Roman" w:hAnsi="Times New Roman" w:cs="Times New Roman"/>
          <w:i/>
          <w:iCs/>
          <w:color w:val="000000"/>
        </w:rPr>
        <w:t>Chevron U.S.A. Inc. v. Natural Resources Defense Council, Inc.</w:t>
      </w:r>
      <w:r w:rsidRPr="007C436F">
        <w:rPr>
          <w:rFonts w:ascii="Times New Roman" w:eastAsia="Times New Roman" w:hAnsi="Times New Roman" w:cs="Times New Roman"/>
          <w:color w:val="000000"/>
        </w:rPr>
        <w:t>, 467 U.S. 837</w:t>
      </w:r>
      <w:r w:rsidR="00EE2C3D" w:rsidRPr="007C436F">
        <w:rPr>
          <w:rFonts w:ascii="Times New Roman" w:eastAsia="Times New Roman" w:hAnsi="Times New Roman" w:cs="Times New Roman"/>
          <w:color w:val="000000"/>
        </w:rPr>
        <w:t xml:space="preserve">, 842-43 </w:t>
      </w:r>
      <w:r w:rsidRPr="007C436F">
        <w:rPr>
          <w:rFonts w:ascii="Times New Roman" w:eastAsia="Times New Roman" w:hAnsi="Times New Roman" w:cs="Times New Roman"/>
          <w:color w:val="000000"/>
        </w:rPr>
        <w:t xml:space="preserve">(1984) (Stevens, J.):  In </w:t>
      </w:r>
      <w:r w:rsidRPr="007C436F">
        <w:rPr>
          <w:rFonts w:ascii="Times New Roman" w:eastAsia="Times New Roman" w:hAnsi="Times New Roman" w:cs="Times New Roman"/>
          <w:i/>
          <w:color w:val="000000"/>
        </w:rPr>
        <w:t>Chevron</w:t>
      </w:r>
      <w:r w:rsidRPr="007C436F">
        <w:rPr>
          <w:rFonts w:ascii="Times New Roman" w:eastAsia="Times New Roman" w:hAnsi="Times New Roman" w:cs="Times New Roman"/>
          <w:color w:val="000000"/>
        </w:rPr>
        <w:t xml:space="preserve">, the Court addressed the standard of review for a government agency's reading of a statute that it is charged with administering. Under </w:t>
      </w:r>
      <w:r w:rsidRPr="007C436F">
        <w:rPr>
          <w:rFonts w:ascii="Times New Roman" w:eastAsia="Times New Roman" w:hAnsi="Times New Roman" w:cs="Times New Roman"/>
          <w:i/>
          <w:color w:val="000000"/>
        </w:rPr>
        <w:t>Chevron</w:t>
      </w:r>
      <w:r w:rsidRPr="007C436F">
        <w:rPr>
          <w:rFonts w:ascii="Times New Roman" w:eastAsia="Times New Roman" w:hAnsi="Times New Roman" w:cs="Times New Roman"/>
          <w:color w:val="000000"/>
        </w:rPr>
        <w:t>, a reviewing court evaluates an agency</w:t>
      </w:r>
      <w:r w:rsidR="001B70CB">
        <w:rPr>
          <w:rFonts w:ascii="Times New Roman" w:eastAsia="Times New Roman" w:hAnsi="Times New Roman" w:cs="Times New Roman"/>
          <w:color w:val="000000"/>
        </w:rPr>
        <w:t>’</w:t>
      </w:r>
      <w:r w:rsidRPr="007C436F">
        <w:rPr>
          <w:rFonts w:ascii="Times New Roman" w:eastAsia="Times New Roman" w:hAnsi="Times New Roman" w:cs="Times New Roman"/>
          <w:color w:val="000000"/>
        </w:rPr>
        <w:t>s interpretat</w:t>
      </w:r>
      <w:r w:rsidR="00580BF9" w:rsidRPr="007C436F">
        <w:rPr>
          <w:rFonts w:ascii="Times New Roman" w:eastAsia="Times New Roman" w:hAnsi="Times New Roman" w:cs="Times New Roman"/>
          <w:color w:val="000000"/>
        </w:rPr>
        <w:t>ion of a statute in two steps: “</w:t>
      </w:r>
      <w:r w:rsidRPr="007C436F">
        <w:rPr>
          <w:rFonts w:ascii="Times New Roman" w:eastAsia="Times New Roman" w:hAnsi="Times New Roman" w:cs="Times New Roman"/>
          <w:color w:val="000000"/>
        </w:rPr>
        <w:t xml:space="preserve">[1] </w:t>
      </w:r>
      <w:proofErr w:type="gramStart"/>
      <w:r w:rsidRPr="007C436F">
        <w:rPr>
          <w:rFonts w:ascii="Times New Roman" w:eastAsia="Times New Roman" w:hAnsi="Times New Roman" w:cs="Times New Roman"/>
          <w:color w:val="000000"/>
        </w:rPr>
        <w:t>First</w:t>
      </w:r>
      <w:proofErr w:type="gramEnd"/>
      <w:r w:rsidRPr="007C436F">
        <w:rPr>
          <w:rFonts w:ascii="Times New Roman" w:eastAsia="Times New Roman" w:hAnsi="Times New Roman" w:cs="Times New Roman"/>
          <w:color w:val="000000"/>
        </w:rPr>
        <w:t>, always, is the question whether Congress has directly spoken to the precise question at issue. If the intent of Congress is clear, that is the end of the matter; for the court, as well as the agency, must give effect to the unambiguously expressed intent of Congress. [2] If, however, the court determines Congress has not directly addressed the precise question at issue, the court does not simply impose its own construction on the statute . . . Rather, if the statute is silent or ambiguous with respect to the specific issue, the question for the court is whether the agency's answer is based on a permissib</w:t>
      </w:r>
      <w:r w:rsidR="00580BF9" w:rsidRPr="007C436F">
        <w:rPr>
          <w:rFonts w:ascii="Times New Roman" w:eastAsia="Times New Roman" w:hAnsi="Times New Roman" w:cs="Times New Roman"/>
          <w:color w:val="000000"/>
        </w:rPr>
        <w:t>le construction of the statute.”</w:t>
      </w:r>
    </w:p>
    <w:p w14:paraId="4EA5EE11" w14:textId="5DB5C9A7" w:rsidR="00EF2C8E" w:rsidRPr="007C436F" w:rsidRDefault="00EF2C8E" w:rsidP="00D10AD1">
      <w:pPr>
        <w:jc w:val="both"/>
        <w:textAlignment w:val="baseline"/>
        <w:rPr>
          <w:rFonts w:ascii="Times New Roman" w:eastAsia="Times New Roman" w:hAnsi="Times New Roman" w:cs="Times New Roman"/>
          <w:color w:val="212121"/>
        </w:rPr>
      </w:pPr>
    </w:p>
    <w:p w14:paraId="3BED8D53" w14:textId="44C5A93F" w:rsidR="00E603DA" w:rsidRPr="00A5391C" w:rsidRDefault="00F54279" w:rsidP="00A5391C">
      <w:pPr>
        <w:numPr>
          <w:ilvl w:val="1"/>
          <w:numId w:val="31"/>
        </w:numPr>
        <w:jc w:val="both"/>
        <w:textAlignment w:val="baseline"/>
        <w:rPr>
          <w:rFonts w:ascii="Times New Roman" w:eastAsia="Times New Roman" w:hAnsi="Times New Roman" w:cs="Times New Roman"/>
          <w:color w:val="212121"/>
        </w:rPr>
      </w:pPr>
      <w:r w:rsidRPr="007C436F">
        <w:rPr>
          <w:rFonts w:ascii="Times New Roman" w:eastAsia="Times New Roman" w:hAnsi="Times New Roman" w:cs="Times New Roman"/>
          <w:i/>
          <w:iCs/>
          <w:color w:val="000000"/>
        </w:rPr>
        <w:t xml:space="preserve">Auer </w:t>
      </w:r>
      <w:r w:rsidR="00C51A91" w:rsidRPr="007C436F">
        <w:rPr>
          <w:rFonts w:ascii="Times New Roman" w:eastAsia="Times New Roman" w:hAnsi="Times New Roman" w:cs="Times New Roman"/>
          <w:i/>
          <w:iCs/>
          <w:color w:val="000000"/>
        </w:rPr>
        <w:t>v</w:t>
      </w:r>
      <w:r w:rsidR="00E603DA">
        <w:rPr>
          <w:rFonts w:ascii="Times New Roman" w:eastAsia="Times New Roman" w:hAnsi="Times New Roman" w:cs="Times New Roman"/>
          <w:i/>
          <w:iCs/>
          <w:color w:val="000000"/>
        </w:rPr>
        <w:t>.</w:t>
      </w:r>
      <w:r w:rsidR="00C51A91" w:rsidRPr="007C436F">
        <w:rPr>
          <w:rFonts w:ascii="Times New Roman" w:eastAsia="Times New Roman" w:hAnsi="Times New Roman" w:cs="Times New Roman"/>
          <w:i/>
          <w:iCs/>
          <w:color w:val="000000"/>
        </w:rPr>
        <w:t xml:space="preserve"> Robbins</w:t>
      </w:r>
      <w:r w:rsidR="00C51A91" w:rsidRPr="007C436F">
        <w:rPr>
          <w:rFonts w:ascii="Times New Roman" w:eastAsia="Times New Roman" w:hAnsi="Times New Roman" w:cs="Times New Roman"/>
          <w:color w:val="000000"/>
        </w:rPr>
        <w:t>, 519 U</w:t>
      </w:r>
      <w:r w:rsidR="002567A4" w:rsidRPr="007C436F">
        <w:rPr>
          <w:rFonts w:ascii="Times New Roman" w:eastAsia="Times New Roman" w:hAnsi="Times New Roman" w:cs="Times New Roman"/>
          <w:color w:val="000000"/>
        </w:rPr>
        <w:t>.</w:t>
      </w:r>
      <w:r w:rsidR="00C51A91" w:rsidRPr="007C436F">
        <w:rPr>
          <w:rFonts w:ascii="Times New Roman" w:eastAsia="Times New Roman" w:hAnsi="Times New Roman" w:cs="Times New Roman"/>
          <w:color w:val="000000"/>
        </w:rPr>
        <w:t>S</w:t>
      </w:r>
      <w:r w:rsidR="002567A4" w:rsidRPr="007C436F">
        <w:rPr>
          <w:rFonts w:ascii="Times New Roman" w:eastAsia="Times New Roman" w:hAnsi="Times New Roman" w:cs="Times New Roman"/>
          <w:color w:val="000000"/>
        </w:rPr>
        <w:t>.</w:t>
      </w:r>
      <w:r w:rsidR="00C51A91" w:rsidRPr="007C436F">
        <w:rPr>
          <w:rFonts w:ascii="Times New Roman" w:eastAsia="Times New Roman" w:hAnsi="Times New Roman" w:cs="Times New Roman"/>
          <w:color w:val="000000"/>
        </w:rPr>
        <w:t xml:space="preserve"> 452</w:t>
      </w:r>
      <w:r w:rsidR="00EE2C3D" w:rsidRPr="007C436F">
        <w:rPr>
          <w:rFonts w:ascii="Times New Roman" w:eastAsia="Times New Roman" w:hAnsi="Times New Roman" w:cs="Times New Roman"/>
          <w:color w:val="000000"/>
        </w:rPr>
        <w:t>, 457, 461</w:t>
      </w:r>
      <w:r w:rsidR="00C51A91" w:rsidRPr="007C436F">
        <w:rPr>
          <w:rFonts w:ascii="Times New Roman" w:eastAsia="Times New Roman" w:hAnsi="Times New Roman" w:cs="Times New Roman"/>
          <w:color w:val="000000"/>
        </w:rPr>
        <w:t xml:space="preserve"> (1997)</w:t>
      </w:r>
      <w:r w:rsidR="00D91A0D" w:rsidRPr="007C436F">
        <w:rPr>
          <w:rFonts w:ascii="Times New Roman" w:eastAsia="Times New Roman" w:hAnsi="Times New Roman" w:cs="Times New Roman"/>
          <w:color w:val="000000"/>
        </w:rPr>
        <w:t xml:space="preserve"> (Scalia, J.)</w:t>
      </w:r>
      <w:r w:rsidR="0027628C" w:rsidRPr="007C436F">
        <w:rPr>
          <w:rFonts w:ascii="Times New Roman" w:eastAsia="Times New Roman" w:hAnsi="Times New Roman" w:cs="Times New Roman"/>
          <w:color w:val="000000"/>
        </w:rPr>
        <w:t xml:space="preserve">:  </w:t>
      </w:r>
      <w:r w:rsidR="002567A4" w:rsidRPr="007C436F">
        <w:rPr>
          <w:rFonts w:ascii="Times New Roman" w:hAnsi="Times New Roman" w:cs="Times New Roman"/>
        </w:rPr>
        <w:t xml:space="preserve">In </w:t>
      </w:r>
      <w:r w:rsidR="002567A4" w:rsidRPr="007C436F">
        <w:rPr>
          <w:rFonts w:ascii="Times New Roman" w:hAnsi="Times New Roman" w:cs="Times New Roman"/>
          <w:i/>
          <w:iCs/>
        </w:rPr>
        <w:t>Auer</w:t>
      </w:r>
      <w:r w:rsidR="002567A4" w:rsidRPr="007C436F">
        <w:rPr>
          <w:rFonts w:ascii="Times New Roman" w:hAnsi="Times New Roman" w:cs="Times New Roman"/>
        </w:rPr>
        <w:t xml:space="preserve">, the Court </w:t>
      </w:r>
      <w:r w:rsidR="00995ECE" w:rsidRPr="007C436F">
        <w:rPr>
          <w:rFonts w:ascii="Times New Roman" w:hAnsi="Times New Roman" w:cs="Times New Roman"/>
        </w:rPr>
        <w:t>addressed</w:t>
      </w:r>
      <w:r w:rsidR="002567A4" w:rsidRPr="007C436F">
        <w:rPr>
          <w:rFonts w:ascii="Times New Roman" w:hAnsi="Times New Roman" w:cs="Times New Roman"/>
        </w:rPr>
        <w:t xml:space="preserve"> an agency</w:t>
      </w:r>
      <w:r w:rsidR="001B70CB">
        <w:rPr>
          <w:rFonts w:ascii="Times New Roman" w:hAnsi="Times New Roman" w:cs="Times New Roman"/>
        </w:rPr>
        <w:t>’</w:t>
      </w:r>
      <w:r w:rsidR="002567A4" w:rsidRPr="007C436F">
        <w:rPr>
          <w:rFonts w:ascii="Times New Roman" w:hAnsi="Times New Roman" w:cs="Times New Roman"/>
        </w:rPr>
        <w:t>s interpretation of its o</w:t>
      </w:r>
      <w:r w:rsidR="0027628C" w:rsidRPr="007C436F">
        <w:rPr>
          <w:rFonts w:ascii="Times New Roman" w:hAnsi="Times New Roman" w:cs="Times New Roman"/>
        </w:rPr>
        <w:t xml:space="preserve">wn regulation.  </w:t>
      </w:r>
      <w:r w:rsidR="002567A4" w:rsidRPr="007C436F">
        <w:rPr>
          <w:rFonts w:ascii="Times New Roman" w:hAnsi="Times New Roman" w:cs="Times New Roman"/>
        </w:rPr>
        <w:t xml:space="preserve">Citing </w:t>
      </w:r>
      <w:r w:rsidR="002567A4" w:rsidRPr="007C436F">
        <w:rPr>
          <w:rFonts w:ascii="Times New Roman" w:hAnsi="Times New Roman" w:cs="Times New Roman"/>
          <w:i/>
          <w:iCs/>
        </w:rPr>
        <w:t>Chevron</w:t>
      </w:r>
      <w:r w:rsidR="002567A4" w:rsidRPr="007C436F">
        <w:rPr>
          <w:rFonts w:ascii="Times New Roman" w:hAnsi="Times New Roman" w:cs="Times New Roman"/>
        </w:rPr>
        <w:t xml:space="preserve">, the Court held </w:t>
      </w:r>
      <w:r w:rsidR="00580BF9" w:rsidRPr="007C436F">
        <w:rPr>
          <w:rFonts w:ascii="Times New Roman" w:hAnsi="Times New Roman" w:cs="Times New Roman"/>
        </w:rPr>
        <w:t>that it must sustain the agency’s regulation so long as it is “</w:t>
      </w:r>
      <w:r w:rsidR="002567A4" w:rsidRPr="007C436F">
        <w:rPr>
          <w:rFonts w:ascii="Times New Roman" w:hAnsi="Times New Roman" w:cs="Times New Roman"/>
        </w:rPr>
        <w:t>based on a permissi</w:t>
      </w:r>
      <w:r w:rsidR="00580BF9" w:rsidRPr="007C436F">
        <w:rPr>
          <w:rFonts w:ascii="Times New Roman" w:hAnsi="Times New Roman" w:cs="Times New Roman"/>
        </w:rPr>
        <w:t>ble construction of the statute” because Congress had not “</w:t>
      </w:r>
      <w:r w:rsidR="002567A4" w:rsidRPr="007C436F">
        <w:rPr>
          <w:rFonts w:ascii="Times New Roman" w:hAnsi="Times New Roman" w:cs="Times New Roman"/>
        </w:rPr>
        <w:t>directly spoken to</w:t>
      </w:r>
      <w:r w:rsidR="00580BF9" w:rsidRPr="007C436F">
        <w:rPr>
          <w:rFonts w:ascii="Times New Roman" w:hAnsi="Times New Roman" w:cs="Times New Roman"/>
        </w:rPr>
        <w:t xml:space="preserve"> the precise question at issue.”</w:t>
      </w:r>
      <w:r w:rsidR="002567A4" w:rsidRPr="007C436F">
        <w:rPr>
          <w:rFonts w:ascii="Times New Roman" w:hAnsi="Times New Roman" w:cs="Times New Roman"/>
        </w:rPr>
        <w:t xml:space="preserve"> </w:t>
      </w:r>
      <w:r w:rsidR="0027628C" w:rsidRPr="007C436F">
        <w:rPr>
          <w:rFonts w:ascii="Times New Roman" w:hAnsi="Times New Roman" w:cs="Times New Roman"/>
        </w:rPr>
        <w:t xml:space="preserve"> </w:t>
      </w:r>
      <w:r w:rsidR="002567A4" w:rsidRPr="007C436F">
        <w:rPr>
          <w:rFonts w:ascii="Times New Roman" w:hAnsi="Times New Roman" w:cs="Times New Roman"/>
        </w:rPr>
        <w:t>The Court gave deference to the agency in interpreting its own rules and regula</w:t>
      </w:r>
      <w:r w:rsidR="00580BF9" w:rsidRPr="007C436F">
        <w:rPr>
          <w:rFonts w:ascii="Times New Roman" w:hAnsi="Times New Roman" w:cs="Times New Roman"/>
        </w:rPr>
        <w:t>tory schemes and reasoned that “</w:t>
      </w:r>
      <w:r w:rsidR="002567A4" w:rsidRPr="007C436F">
        <w:rPr>
          <w:rFonts w:ascii="Times New Roman" w:hAnsi="Times New Roman" w:cs="Times New Roman"/>
        </w:rPr>
        <w:t>because the salary-basis test</w:t>
      </w:r>
      <w:r w:rsidR="00580BF9" w:rsidRPr="007C436F">
        <w:rPr>
          <w:rFonts w:ascii="Times New Roman" w:hAnsi="Times New Roman" w:cs="Times New Roman"/>
        </w:rPr>
        <w:t xml:space="preserve"> is a creature of the Secretary’</w:t>
      </w:r>
      <w:r w:rsidR="002567A4" w:rsidRPr="007C436F">
        <w:rPr>
          <w:rFonts w:ascii="Times New Roman" w:hAnsi="Times New Roman" w:cs="Times New Roman"/>
        </w:rPr>
        <w:t>s own regulations, his interpretation of</w:t>
      </w:r>
      <w:r w:rsidR="00580BF9" w:rsidRPr="007C436F">
        <w:rPr>
          <w:rFonts w:ascii="Times New Roman" w:hAnsi="Times New Roman" w:cs="Times New Roman"/>
        </w:rPr>
        <w:t xml:space="preserve"> it is . . . controlling unless ‘</w:t>
      </w:r>
      <w:r w:rsidR="002567A4" w:rsidRPr="007C436F">
        <w:rPr>
          <w:rFonts w:ascii="Times New Roman" w:hAnsi="Times New Roman" w:cs="Times New Roman"/>
        </w:rPr>
        <w:t xml:space="preserve">plainly erroneous or inconsistent with the </w:t>
      </w:r>
      <w:r w:rsidR="00580BF9" w:rsidRPr="007C436F">
        <w:rPr>
          <w:rFonts w:ascii="Times New Roman" w:hAnsi="Times New Roman" w:cs="Times New Roman"/>
        </w:rPr>
        <w:t>regulation.’”</w:t>
      </w:r>
      <w:r w:rsidR="002567A4" w:rsidRPr="007C436F">
        <w:rPr>
          <w:rFonts w:ascii="Times New Roman" w:hAnsi="Times New Roman" w:cs="Times New Roman"/>
        </w:rPr>
        <w:t xml:space="preserve"> </w:t>
      </w:r>
      <w:r w:rsidR="00995ECE" w:rsidRPr="007C436F">
        <w:rPr>
          <w:rFonts w:ascii="Times New Roman" w:hAnsi="Times New Roman" w:cs="Times New Roman"/>
          <w:iCs/>
        </w:rPr>
        <w:t>The Court</w:t>
      </w:r>
      <w:r w:rsidR="00995ECE" w:rsidRPr="007C436F">
        <w:rPr>
          <w:rFonts w:ascii="Times New Roman" w:hAnsi="Times New Roman" w:cs="Times New Roman"/>
        </w:rPr>
        <w:t xml:space="preserve"> declined to apply the two-step </w:t>
      </w:r>
      <w:r w:rsidR="00995ECE" w:rsidRPr="007C436F">
        <w:rPr>
          <w:rFonts w:ascii="Times New Roman" w:hAnsi="Times New Roman" w:cs="Times New Roman"/>
          <w:i/>
          <w:iCs/>
        </w:rPr>
        <w:t>Chevron</w:t>
      </w:r>
      <w:r w:rsidR="00995ECE" w:rsidRPr="007C436F">
        <w:rPr>
          <w:rFonts w:ascii="Times New Roman" w:hAnsi="Times New Roman" w:cs="Times New Roman"/>
        </w:rPr>
        <w:t xml:space="preserve"> analysis, and instead applies a single-step analysis.  </w:t>
      </w:r>
      <w:r w:rsidR="002567A4" w:rsidRPr="007C436F">
        <w:rPr>
          <w:rFonts w:ascii="Times New Roman" w:hAnsi="Times New Roman" w:cs="Times New Roman"/>
        </w:rPr>
        <w:t xml:space="preserve">Thus, </w:t>
      </w:r>
      <w:r w:rsidR="002567A4" w:rsidRPr="007C436F">
        <w:rPr>
          <w:rFonts w:ascii="Times New Roman" w:hAnsi="Times New Roman" w:cs="Times New Roman"/>
          <w:i/>
          <w:iCs/>
        </w:rPr>
        <w:t>Auer</w:t>
      </w:r>
      <w:r w:rsidR="00BE6FDC" w:rsidRPr="007C436F">
        <w:rPr>
          <w:rFonts w:ascii="Times New Roman" w:hAnsi="Times New Roman" w:cs="Times New Roman"/>
        </w:rPr>
        <w:t xml:space="preserve"> </w:t>
      </w:r>
      <w:r w:rsidR="00995ECE" w:rsidRPr="007C436F">
        <w:rPr>
          <w:rFonts w:ascii="Times New Roman" w:hAnsi="Times New Roman" w:cs="Times New Roman"/>
        </w:rPr>
        <w:t xml:space="preserve">gives </w:t>
      </w:r>
      <w:r w:rsidR="002567A4" w:rsidRPr="007C436F">
        <w:rPr>
          <w:rFonts w:ascii="Times New Roman" w:hAnsi="Times New Roman" w:cs="Times New Roman"/>
        </w:rPr>
        <w:t>agencies t</w:t>
      </w:r>
      <w:r w:rsidR="00995ECE" w:rsidRPr="007C436F">
        <w:rPr>
          <w:rFonts w:ascii="Times New Roman" w:hAnsi="Times New Roman" w:cs="Times New Roman"/>
        </w:rPr>
        <w:t>he highest level of deference when</w:t>
      </w:r>
      <w:r w:rsidR="002567A4" w:rsidRPr="007C436F">
        <w:rPr>
          <w:rFonts w:ascii="Times New Roman" w:hAnsi="Times New Roman" w:cs="Times New Roman"/>
        </w:rPr>
        <w:t xml:space="preserve"> inte</w:t>
      </w:r>
      <w:r w:rsidR="0027628C" w:rsidRPr="007C436F">
        <w:rPr>
          <w:rFonts w:ascii="Times New Roman" w:hAnsi="Times New Roman" w:cs="Times New Roman"/>
        </w:rPr>
        <w:t xml:space="preserve">rpreting their own regulations. </w:t>
      </w:r>
      <w:r w:rsidR="002567A4" w:rsidRPr="007C436F">
        <w:rPr>
          <w:rFonts w:ascii="Times New Roman" w:hAnsi="Times New Roman" w:cs="Times New Roman"/>
        </w:rPr>
        <w:t xml:space="preserve"> </w:t>
      </w:r>
    </w:p>
    <w:p w14:paraId="36E6D500" w14:textId="38026EEF" w:rsidR="009372B7" w:rsidRPr="009B237F" w:rsidRDefault="009372B7" w:rsidP="00E603DA">
      <w:pPr>
        <w:jc w:val="both"/>
        <w:textAlignment w:val="baseline"/>
        <w:rPr>
          <w:rFonts w:ascii="Times New Roman" w:eastAsia="Times New Roman" w:hAnsi="Times New Roman" w:cs="Times New Roman"/>
          <w:color w:val="212121"/>
        </w:rPr>
      </w:pPr>
    </w:p>
    <w:p w14:paraId="3F1F7E09" w14:textId="77777777" w:rsidR="00D54352" w:rsidRDefault="00D54352" w:rsidP="009B237F">
      <w:pPr>
        <w:pStyle w:val="ListParagraph"/>
        <w:rPr>
          <w:rFonts w:ascii="Times New Roman" w:hAnsi="Times New Roman" w:cs="Times New Roman"/>
        </w:rPr>
      </w:pPr>
    </w:p>
    <w:p w14:paraId="6B5DCBCF" w14:textId="708EC5FA" w:rsidR="00D54352" w:rsidRPr="0065597F" w:rsidRDefault="00D54352" w:rsidP="00E603DA">
      <w:pPr>
        <w:keepNext/>
        <w:numPr>
          <w:ilvl w:val="0"/>
          <w:numId w:val="31"/>
        </w:numPr>
        <w:textAlignment w:val="baseline"/>
        <w:rPr>
          <w:rFonts w:ascii="Times New Roman" w:eastAsia="Times New Roman" w:hAnsi="Times New Roman" w:cs="Times New Roman"/>
          <w:color w:val="212121"/>
          <w:sz w:val="28"/>
        </w:rPr>
      </w:pPr>
      <w:r>
        <w:rPr>
          <w:rFonts w:ascii="Times New Roman" w:eastAsia="Times New Roman" w:hAnsi="Times New Roman" w:cs="Times New Roman"/>
          <w:iCs/>
          <w:color w:val="000000"/>
          <w:sz w:val="28"/>
        </w:rPr>
        <w:lastRenderedPageBreak/>
        <w:t>Supreme Court Willingness to Reconsider the Scope of Agency Deference?</w:t>
      </w:r>
    </w:p>
    <w:p w14:paraId="7D0A8CF8" w14:textId="21CBD7E7" w:rsidR="00B24309" w:rsidRPr="007C436F" w:rsidRDefault="00D54352" w:rsidP="009B237F">
      <w:pPr>
        <w:jc w:val="both"/>
        <w:textAlignment w:val="baseline"/>
        <w:rPr>
          <w:rFonts w:ascii="Times New Roman" w:eastAsia="Times New Roman" w:hAnsi="Times New Roman" w:cs="Times New Roman"/>
          <w:color w:val="212121"/>
        </w:rPr>
      </w:pPr>
      <w:r>
        <w:rPr>
          <w:rFonts w:ascii="Times New Roman" w:hAnsi="Times New Roman" w:cs="Times New Roman"/>
        </w:rPr>
        <w:tab/>
      </w:r>
    </w:p>
    <w:p w14:paraId="5E2F91C3" w14:textId="60EA2948" w:rsidR="00B24309" w:rsidRPr="007C436F" w:rsidRDefault="00D56C86" w:rsidP="009B237F">
      <w:pPr>
        <w:numPr>
          <w:ilvl w:val="1"/>
          <w:numId w:val="31"/>
        </w:numPr>
        <w:jc w:val="both"/>
        <w:textAlignment w:val="baseline"/>
        <w:rPr>
          <w:rFonts w:ascii="Times New Roman" w:eastAsia="Times New Roman" w:hAnsi="Times New Roman" w:cs="Times New Roman"/>
          <w:i/>
          <w:iCs/>
          <w:color w:val="000000"/>
        </w:rPr>
      </w:pPr>
      <w:r w:rsidRPr="007C436F">
        <w:rPr>
          <w:rFonts w:ascii="Times New Roman" w:eastAsia="Times New Roman" w:hAnsi="Times New Roman" w:cs="Times New Roman"/>
          <w:color w:val="212121"/>
        </w:rPr>
        <w:t xml:space="preserve">Recently, the Supreme Court granted certiorari on the question of whether </w:t>
      </w:r>
      <w:r w:rsidRPr="007C436F">
        <w:rPr>
          <w:rFonts w:ascii="Times New Roman" w:eastAsia="Times New Roman" w:hAnsi="Times New Roman" w:cs="Times New Roman"/>
          <w:i/>
          <w:iCs/>
          <w:color w:val="212121"/>
        </w:rPr>
        <w:t xml:space="preserve">Auer </w:t>
      </w:r>
      <w:r w:rsidRPr="007C436F">
        <w:rPr>
          <w:rFonts w:ascii="Times New Roman" w:eastAsia="Times New Roman" w:hAnsi="Times New Roman" w:cs="Times New Roman"/>
          <w:color w:val="212121"/>
        </w:rPr>
        <w:t>should be overturned.</w:t>
      </w:r>
      <w:r w:rsidRPr="007C436F">
        <w:rPr>
          <w:rFonts w:ascii="Times New Roman" w:eastAsia="Times New Roman" w:hAnsi="Times New Roman" w:cs="Times New Roman"/>
          <w:i/>
          <w:iCs/>
          <w:color w:val="000000"/>
        </w:rPr>
        <w:t xml:space="preserve">  </w:t>
      </w:r>
      <w:proofErr w:type="spellStart"/>
      <w:r w:rsidR="00B24309" w:rsidRPr="007C436F">
        <w:rPr>
          <w:rFonts w:ascii="Times New Roman" w:eastAsia="Times New Roman" w:hAnsi="Times New Roman" w:cs="Times New Roman"/>
          <w:i/>
          <w:iCs/>
          <w:color w:val="000000"/>
        </w:rPr>
        <w:t>Kisor</w:t>
      </w:r>
      <w:proofErr w:type="spellEnd"/>
      <w:r w:rsidR="00B24309" w:rsidRPr="007C436F">
        <w:rPr>
          <w:rFonts w:ascii="Times New Roman" w:eastAsia="Times New Roman" w:hAnsi="Times New Roman" w:cs="Times New Roman"/>
          <w:i/>
          <w:iCs/>
          <w:color w:val="000000"/>
        </w:rPr>
        <w:t xml:space="preserve"> v. </w:t>
      </w:r>
      <w:proofErr w:type="spellStart"/>
      <w:r w:rsidR="00B24309" w:rsidRPr="007C436F">
        <w:rPr>
          <w:rFonts w:ascii="Times New Roman" w:eastAsia="Times New Roman" w:hAnsi="Times New Roman" w:cs="Times New Roman"/>
          <w:i/>
          <w:iCs/>
          <w:color w:val="000000"/>
        </w:rPr>
        <w:t>Wilkie</w:t>
      </w:r>
      <w:proofErr w:type="spellEnd"/>
      <w:r w:rsidR="00B24309" w:rsidRPr="007C436F">
        <w:rPr>
          <w:rFonts w:ascii="Times New Roman" w:eastAsia="Times New Roman" w:hAnsi="Times New Roman" w:cs="Times New Roman"/>
          <w:iCs/>
          <w:color w:val="000000"/>
        </w:rPr>
        <w:t xml:space="preserve">, </w:t>
      </w:r>
      <w:r w:rsidR="00B24309" w:rsidRPr="007C436F">
        <w:rPr>
          <w:rFonts w:ascii="Times New Roman" w:eastAsia="Times New Roman" w:hAnsi="Times New Roman" w:cs="Times New Roman"/>
          <w:color w:val="212121"/>
        </w:rPr>
        <w:t xml:space="preserve">--- </w:t>
      </w:r>
      <w:proofErr w:type="spellStart"/>
      <w:r w:rsidR="00B24309" w:rsidRPr="007C436F">
        <w:rPr>
          <w:rFonts w:ascii="Times New Roman" w:eastAsia="Times New Roman" w:hAnsi="Times New Roman" w:cs="Times New Roman"/>
          <w:color w:val="212121"/>
        </w:rPr>
        <w:t>S.Ct</w:t>
      </w:r>
      <w:proofErr w:type="spellEnd"/>
      <w:r w:rsidR="00B24309" w:rsidRPr="007C436F">
        <w:rPr>
          <w:rFonts w:ascii="Times New Roman" w:eastAsia="Times New Roman" w:hAnsi="Times New Roman" w:cs="Times New Roman"/>
          <w:color w:val="212121"/>
        </w:rPr>
        <w:t>. ----, 2018 WL 6439837 (Mem), 18 Cal. Daily Op. Serv. 11,542</w:t>
      </w:r>
      <w:r w:rsidRPr="007C436F">
        <w:rPr>
          <w:rFonts w:ascii="Times New Roman" w:eastAsia="Times New Roman" w:hAnsi="Times New Roman" w:cs="Times New Roman"/>
          <w:color w:val="212121"/>
        </w:rPr>
        <w:t xml:space="preserve"> (2018).</w:t>
      </w:r>
    </w:p>
    <w:p w14:paraId="06FF464E" w14:textId="794621B9" w:rsidR="00B24309" w:rsidRPr="00EC3605" w:rsidRDefault="00B24309" w:rsidP="009B237F">
      <w:pPr>
        <w:numPr>
          <w:ilvl w:val="2"/>
          <w:numId w:val="31"/>
        </w:numPr>
        <w:jc w:val="both"/>
        <w:textAlignment w:val="baseline"/>
        <w:rPr>
          <w:rFonts w:ascii="Times New Roman" w:eastAsia="Times New Roman" w:hAnsi="Times New Roman" w:cs="Times New Roman"/>
          <w:i/>
          <w:iCs/>
          <w:color w:val="000000"/>
        </w:rPr>
      </w:pPr>
      <w:proofErr w:type="spellStart"/>
      <w:r w:rsidRPr="007C436F">
        <w:rPr>
          <w:rFonts w:ascii="Times New Roman" w:eastAsia="Times New Roman" w:hAnsi="Times New Roman" w:cs="Times New Roman"/>
          <w:i/>
          <w:iCs/>
          <w:color w:val="000000"/>
        </w:rPr>
        <w:t>Kisor</w:t>
      </w:r>
      <w:proofErr w:type="spellEnd"/>
      <w:r w:rsidRPr="007C436F">
        <w:rPr>
          <w:rFonts w:ascii="Times New Roman" w:eastAsia="Times New Roman" w:hAnsi="Times New Roman" w:cs="Times New Roman"/>
          <w:i/>
          <w:iCs/>
          <w:color w:val="000000"/>
        </w:rPr>
        <w:t xml:space="preserve"> v. </w:t>
      </w:r>
      <w:proofErr w:type="spellStart"/>
      <w:r w:rsidRPr="007C436F">
        <w:rPr>
          <w:rFonts w:ascii="Times New Roman" w:eastAsia="Times New Roman" w:hAnsi="Times New Roman" w:cs="Times New Roman"/>
          <w:i/>
          <w:iCs/>
          <w:color w:val="000000"/>
        </w:rPr>
        <w:t>Shulkin</w:t>
      </w:r>
      <w:proofErr w:type="spellEnd"/>
      <w:r w:rsidRPr="007C436F">
        <w:rPr>
          <w:rFonts w:ascii="Times New Roman" w:eastAsia="Times New Roman" w:hAnsi="Times New Roman" w:cs="Times New Roman"/>
          <w:color w:val="000000"/>
        </w:rPr>
        <w:t xml:space="preserve">, 869 F.3d 1360 (Fed. Cir. 2017): </w:t>
      </w:r>
      <w:r w:rsidRPr="007C436F">
        <w:rPr>
          <w:rFonts w:ascii="Times New Roman" w:hAnsi="Times New Roman" w:cs="Times New Roman"/>
          <w:color w:val="000000"/>
        </w:rPr>
        <w:t xml:space="preserve"> In </w:t>
      </w:r>
      <w:proofErr w:type="spellStart"/>
      <w:r w:rsidRPr="007C436F">
        <w:rPr>
          <w:rFonts w:ascii="Times New Roman" w:hAnsi="Times New Roman" w:cs="Times New Roman"/>
          <w:i/>
          <w:iCs/>
          <w:color w:val="000000"/>
        </w:rPr>
        <w:t>Kisor</w:t>
      </w:r>
      <w:proofErr w:type="spellEnd"/>
      <w:r w:rsidRPr="007C436F">
        <w:rPr>
          <w:rFonts w:ascii="Times New Roman" w:hAnsi="Times New Roman" w:cs="Times New Roman"/>
          <w:color w:val="000000"/>
        </w:rPr>
        <w:t>, the panel affirmed the Veterans Court’s decision, upholding the Board’s denial of an earl</w:t>
      </w:r>
      <w:r w:rsidR="0017199F" w:rsidRPr="007C436F">
        <w:rPr>
          <w:rFonts w:ascii="Times New Roman" w:hAnsi="Times New Roman" w:cs="Times New Roman"/>
          <w:color w:val="000000"/>
        </w:rPr>
        <w:t>ier effective benefits date</w:t>
      </w:r>
      <w:r w:rsidRPr="007C436F">
        <w:rPr>
          <w:rFonts w:ascii="Times New Roman" w:hAnsi="Times New Roman" w:cs="Times New Roman"/>
          <w:color w:val="000000"/>
        </w:rPr>
        <w:t xml:space="preserve">.  </w:t>
      </w:r>
      <w:r w:rsidR="00D56C86" w:rsidRPr="007C436F">
        <w:rPr>
          <w:rFonts w:ascii="Times New Roman" w:hAnsi="Times New Roman" w:cs="Times New Roman"/>
          <w:color w:val="000000"/>
        </w:rPr>
        <w:t xml:space="preserve">Applying </w:t>
      </w:r>
      <w:r w:rsidRPr="007C436F">
        <w:rPr>
          <w:rFonts w:ascii="Times New Roman" w:hAnsi="Times New Roman" w:cs="Times New Roman"/>
          <w:i/>
          <w:color w:val="000000"/>
        </w:rPr>
        <w:t>Auer</w:t>
      </w:r>
      <w:r w:rsidR="00D56C86" w:rsidRPr="007C436F">
        <w:rPr>
          <w:rFonts w:ascii="Times New Roman" w:hAnsi="Times New Roman" w:cs="Times New Roman"/>
          <w:color w:val="000000"/>
        </w:rPr>
        <w:t>, the panel</w:t>
      </w:r>
      <w:r w:rsidRPr="007C436F">
        <w:rPr>
          <w:rFonts w:ascii="Times New Roman" w:hAnsi="Times New Roman" w:cs="Times New Roman"/>
          <w:color w:val="000000"/>
        </w:rPr>
        <w:t xml:space="preserve"> </w:t>
      </w:r>
      <w:r w:rsidR="00D56C86" w:rsidRPr="007C436F">
        <w:rPr>
          <w:rFonts w:ascii="Times New Roman" w:hAnsi="Times New Roman" w:cs="Times New Roman"/>
          <w:color w:val="000000"/>
        </w:rPr>
        <w:t xml:space="preserve">explained </w:t>
      </w:r>
      <w:r w:rsidRPr="007C436F">
        <w:rPr>
          <w:rFonts w:ascii="Times New Roman" w:hAnsi="Times New Roman" w:cs="Times New Roman"/>
          <w:color w:val="000000"/>
        </w:rPr>
        <w:t>that deference should be granted to the agency</w:t>
      </w:r>
      <w:r w:rsidR="00D56C86" w:rsidRPr="007C436F">
        <w:rPr>
          <w:rFonts w:ascii="Times New Roman" w:hAnsi="Times New Roman" w:cs="Times New Roman"/>
          <w:color w:val="000000"/>
        </w:rPr>
        <w:t>’s interpretation of its regulation</w:t>
      </w:r>
      <w:r w:rsidRPr="007C436F">
        <w:rPr>
          <w:rFonts w:ascii="Times New Roman" w:hAnsi="Times New Roman" w:cs="Times New Roman"/>
          <w:color w:val="000000"/>
        </w:rPr>
        <w:t xml:space="preserve"> “as long as the regulation is ambiguous and the agency’s interpretation is neither plainly erroneous nor inconsistent with the regulation</w:t>
      </w:r>
      <w:r w:rsidRPr="007C436F">
        <w:rPr>
          <w:rFonts w:ascii="Times New Roman" w:hAnsi="Times New Roman" w:cs="Times New Roman"/>
          <w:i/>
          <w:iCs/>
          <w:color w:val="000000"/>
        </w:rPr>
        <w:t>.</w:t>
      </w:r>
      <w:r w:rsidRPr="007C436F">
        <w:rPr>
          <w:rFonts w:ascii="Times New Roman" w:hAnsi="Times New Roman" w:cs="Times New Roman"/>
          <w:iCs/>
          <w:color w:val="000000"/>
        </w:rPr>
        <w:t>”</w:t>
      </w:r>
      <w:r w:rsidRPr="007C436F">
        <w:rPr>
          <w:rFonts w:ascii="Times New Roman" w:hAnsi="Times New Roman" w:cs="Times New Roman"/>
          <w:i/>
          <w:iCs/>
          <w:color w:val="000000"/>
        </w:rPr>
        <w:t xml:space="preserve"> </w:t>
      </w:r>
      <w:r w:rsidRPr="007C436F">
        <w:rPr>
          <w:rFonts w:ascii="Times New Roman" w:hAnsi="Times New Roman" w:cs="Times New Roman"/>
          <w:color w:val="000000"/>
        </w:rPr>
        <w:t>The panel concluded that the term</w:t>
      </w:r>
      <w:r w:rsidR="00D56C86" w:rsidRPr="007C436F">
        <w:rPr>
          <w:rFonts w:ascii="Times New Roman" w:hAnsi="Times New Roman" w:cs="Times New Roman"/>
          <w:color w:val="000000"/>
        </w:rPr>
        <w:t xml:space="preserve"> at issue,</w:t>
      </w:r>
      <w:r w:rsidRPr="007C436F">
        <w:rPr>
          <w:rFonts w:ascii="Times New Roman" w:hAnsi="Times New Roman" w:cs="Times New Roman"/>
          <w:color w:val="000000"/>
        </w:rPr>
        <w:t xml:space="preserve"> “relevant</w:t>
      </w:r>
      <w:r w:rsidR="00D56C86" w:rsidRPr="007C436F">
        <w:rPr>
          <w:rFonts w:ascii="Times New Roman" w:hAnsi="Times New Roman" w:cs="Times New Roman"/>
          <w:color w:val="000000"/>
        </w:rPr>
        <w:t>,” wa</w:t>
      </w:r>
      <w:r w:rsidRPr="007C436F">
        <w:rPr>
          <w:rFonts w:ascii="Times New Roman" w:hAnsi="Times New Roman" w:cs="Times New Roman"/>
          <w:color w:val="000000"/>
        </w:rPr>
        <w:t xml:space="preserve">s ambiguous, and that the Board’s interpretation was not “erroneous or inconsistent with the VA’s regulatory framework.” </w:t>
      </w:r>
    </w:p>
    <w:p w14:paraId="1288B91C" w14:textId="77777777" w:rsidR="00FB1042" w:rsidRPr="007C436F" w:rsidRDefault="00FB1042" w:rsidP="00EC3605">
      <w:pPr>
        <w:ind w:left="1800"/>
        <w:jc w:val="both"/>
        <w:textAlignment w:val="baseline"/>
        <w:rPr>
          <w:rFonts w:ascii="Times New Roman" w:eastAsia="Times New Roman" w:hAnsi="Times New Roman" w:cs="Times New Roman"/>
          <w:i/>
          <w:iCs/>
          <w:color w:val="000000"/>
        </w:rPr>
      </w:pPr>
    </w:p>
    <w:p w14:paraId="15EE45A4" w14:textId="739D1364" w:rsidR="00D54352" w:rsidRDefault="00B24309" w:rsidP="009B237F">
      <w:pPr>
        <w:ind w:left="1800"/>
        <w:jc w:val="both"/>
        <w:textAlignment w:val="baseline"/>
        <w:rPr>
          <w:rFonts w:ascii="Times New Roman" w:eastAsia="Times New Roman" w:hAnsi="Times New Roman" w:cs="Times New Roman"/>
          <w:i/>
          <w:iCs/>
          <w:color w:val="000000"/>
        </w:rPr>
      </w:pPr>
      <w:r w:rsidRPr="007C436F">
        <w:rPr>
          <w:rFonts w:ascii="Times New Roman" w:hAnsi="Times New Roman" w:cs="Times New Roman"/>
          <w:color w:val="000000"/>
        </w:rPr>
        <w:t xml:space="preserve">Dissent from Denial of </w:t>
      </w:r>
      <w:proofErr w:type="spellStart"/>
      <w:r w:rsidRPr="009B237F">
        <w:rPr>
          <w:rFonts w:ascii="Times New Roman" w:hAnsi="Times New Roman" w:cs="Times New Roman"/>
          <w:i/>
          <w:color w:val="000000"/>
        </w:rPr>
        <w:t>En</w:t>
      </w:r>
      <w:proofErr w:type="spellEnd"/>
      <w:r w:rsidRPr="009B237F">
        <w:rPr>
          <w:rFonts w:ascii="Times New Roman" w:hAnsi="Times New Roman" w:cs="Times New Roman"/>
          <w:i/>
          <w:color w:val="000000"/>
        </w:rPr>
        <w:t xml:space="preserve"> Banc</w:t>
      </w:r>
      <w:r w:rsidRPr="007C436F">
        <w:rPr>
          <w:rFonts w:ascii="Times New Roman" w:hAnsi="Times New Roman" w:cs="Times New Roman"/>
          <w:color w:val="000000"/>
        </w:rPr>
        <w:t xml:space="preserve"> Rehearing:  </w:t>
      </w:r>
      <w:r w:rsidRPr="007C436F">
        <w:rPr>
          <w:rFonts w:ascii="Times New Roman" w:eastAsia="Times New Roman" w:hAnsi="Times New Roman" w:cs="Times New Roman"/>
          <w:color w:val="000000"/>
        </w:rPr>
        <w:t>880 F.3d 1378</w:t>
      </w:r>
      <w:r w:rsidR="00EE2C3D" w:rsidRPr="007C436F">
        <w:rPr>
          <w:rFonts w:ascii="Times New Roman" w:eastAsia="Times New Roman" w:hAnsi="Times New Roman" w:cs="Times New Roman"/>
          <w:color w:val="000000"/>
        </w:rPr>
        <w:t>, 1379</w:t>
      </w:r>
      <w:r w:rsidRPr="007C436F">
        <w:rPr>
          <w:rFonts w:ascii="Times New Roman" w:eastAsia="Times New Roman" w:hAnsi="Times New Roman" w:cs="Times New Roman"/>
          <w:color w:val="000000"/>
        </w:rPr>
        <w:t xml:space="preserve"> (Fed. Cir. 2018)</w:t>
      </w:r>
      <w:r w:rsidR="0017199F" w:rsidRPr="007C436F">
        <w:rPr>
          <w:rFonts w:ascii="Times New Roman" w:eastAsia="Times New Roman" w:hAnsi="Times New Roman" w:cs="Times New Roman"/>
          <w:color w:val="000000"/>
        </w:rPr>
        <w:t xml:space="preserve"> (O’Malley, J., Newman, J. and Moore, J. joining)</w:t>
      </w:r>
      <w:r w:rsidRPr="007C436F">
        <w:rPr>
          <w:rFonts w:ascii="Times New Roman" w:eastAsia="Times New Roman" w:hAnsi="Times New Roman" w:cs="Times New Roman"/>
          <w:color w:val="000000"/>
        </w:rPr>
        <w:t xml:space="preserve">:  </w:t>
      </w:r>
      <w:r w:rsidR="00EE2C3D" w:rsidRPr="007C436F">
        <w:rPr>
          <w:rFonts w:ascii="Times New Roman" w:eastAsia="Times New Roman" w:hAnsi="Times New Roman" w:cs="Times New Roman"/>
          <w:color w:val="000000"/>
        </w:rPr>
        <w:t xml:space="preserve">“Whatever the logic behind continued adherence to the doctrine espoused in </w:t>
      </w:r>
      <w:r w:rsidR="00EE2C3D" w:rsidRPr="007C436F">
        <w:rPr>
          <w:rFonts w:ascii="Times New Roman" w:eastAsia="Times New Roman" w:hAnsi="Times New Roman" w:cs="Times New Roman"/>
          <w:i/>
          <w:color w:val="000000"/>
        </w:rPr>
        <w:t>Auer</w:t>
      </w:r>
      <w:r w:rsidR="00EE2C3D" w:rsidRPr="007C436F">
        <w:rPr>
          <w:rFonts w:ascii="Times New Roman" w:eastAsia="Times New Roman" w:hAnsi="Times New Roman" w:cs="Times New Roman"/>
          <w:color w:val="000000"/>
        </w:rPr>
        <w:t xml:space="preserve">—and I see little—there is no logic to its application to regulations promulgated pursuant to statutory schemes that are to be applied liberally for the very benefit of those regulated. When these two doctrines pull in different directions, it is </w:t>
      </w:r>
      <w:r w:rsidR="00EE2C3D" w:rsidRPr="007C436F">
        <w:rPr>
          <w:rFonts w:ascii="Times New Roman" w:eastAsia="Times New Roman" w:hAnsi="Times New Roman" w:cs="Times New Roman"/>
          <w:i/>
          <w:color w:val="000000"/>
        </w:rPr>
        <w:t>Auer</w:t>
      </w:r>
      <w:r w:rsidR="00EE2C3D" w:rsidRPr="007C436F">
        <w:rPr>
          <w:rFonts w:ascii="Times New Roman" w:eastAsia="Times New Roman" w:hAnsi="Times New Roman" w:cs="Times New Roman"/>
          <w:color w:val="000000"/>
        </w:rPr>
        <w:t xml:space="preserve"> deference that must give way. I dissent from the </w:t>
      </w:r>
      <w:r w:rsidR="001B70CB" w:rsidRPr="007C436F">
        <w:rPr>
          <w:rFonts w:ascii="Times New Roman" w:eastAsia="Times New Roman" w:hAnsi="Times New Roman" w:cs="Times New Roman"/>
          <w:color w:val="000000"/>
        </w:rPr>
        <w:t>court</w:t>
      </w:r>
      <w:r w:rsidR="001B70CB">
        <w:rPr>
          <w:rFonts w:ascii="Times New Roman" w:eastAsia="Times New Roman" w:hAnsi="Times New Roman" w:cs="Times New Roman"/>
          <w:color w:val="000000"/>
        </w:rPr>
        <w:t>’</w:t>
      </w:r>
      <w:r w:rsidR="001B70CB" w:rsidRPr="007C436F">
        <w:rPr>
          <w:rFonts w:ascii="Times New Roman" w:eastAsia="Times New Roman" w:hAnsi="Times New Roman" w:cs="Times New Roman"/>
          <w:color w:val="000000"/>
        </w:rPr>
        <w:t xml:space="preserve">s </w:t>
      </w:r>
      <w:r w:rsidR="00EE2C3D" w:rsidRPr="007C436F">
        <w:rPr>
          <w:rFonts w:ascii="Times New Roman" w:eastAsia="Times New Roman" w:hAnsi="Times New Roman" w:cs="Times New Roman"/>
          <w:color w:val="000000"/>
        </w:rPr>
        <w:t>refusal to take the opportunity to finally so hold.”</w:t>
      </w:r>
    </w:p>
    <w:p w14:paraId="78BB63E0" w14:textId="77777777" w:rsidR="00D54352" w:rsidRPr="007C436F" w:rsidRDefault="00D54352" w:rsidP="009B237F">
      <w:pPr>
        <w:ind w:left="1800"/>
        <w:jc w:val="both"/>
        <w:textAlignment w:val="baseline"/>
        <w:rPr>
          <w:rFonts w:ascii="Times New Roman" w:eastAsia="Times New Roman" w:hAnsi="Times New Roman" w:cs="Times New Roman"/>
          <w:i/>
          <w:iCs/>
          <w:color w:val="000000"/>
        </w:rPr>
      </w:pPr>
    </w:p>
    <w:p w14:paraId="269BFA53" w14:textId="25F24F51" w:rsidR="0060565D" w:rsidRPr="00D54352" w:rsidRDefault="007936D3" w:rsidP="009B237F">
      <w:pPr>
        <w:numPr>
          <w:ilvl w:val="1"/>
          <w:numId w:val="31"/>
        </w:numPr>
        <w:jc w:val="both"/>
        <w:textAlignment w:val="baseline"/>
        <w:rPr>
          <w:rFonts w:ascii="Times New Roman" w:eastAsia="Times New Roman" w:hAnsi="Times New Roman" w:cs="Times New Roman"/>
          <w:color w:val="000000"/>
        </w:rPr>
      </w:pPr>
      <w:r w:rsidRPr="00D54352">
        <w:rPr>
          <w:rFonts w:ascii="Times New Roman" w:hAnsi="Times New Roman" w:cs="Times New Roman"/>
        </w:rPr>
        <w:t xml:space="preserve">Prior to </w:t>
      </w:r>
      <w:proofErr w:type="spellStart"/>
      <w:r w:rsidRPr="00D54352">
        <w:rPr>
          <w:rFonts w:ascii="Times New Roman" w:hAnsi="Times New Roman" w:cs="Times New Roman"/>
          <w:i/>
        </w:rPr>
        <w:t>Kisor</w:t>
      </w:r>
      <w:proofErr w:type="spellEnd"/>
      <w:r w:rsidRPr="00D54352">
        <w:rPr>
          <w:rFonts w:ascii="Times New Roman" w:hAnsi="Times New Roman" w:cs="Times New Roman"/>
        </w:rPr>
        <w:t>, s</w:t>
      </w:r>
      <w:r w:rsidR="00D91A0D" w:rsidRPr="00D54352">
        <w:rPr>
          <w:rFonts w:ascii="Times New Roman" w:hAnsi="Times New Roman" w:cs="Times New Roman"/>
        </w:rPr>
        <w:t>everal Justices</w:t>
      </w:r>
      <w:r w:rsidRPr="00D54352">
        <w:rPr>
          <w:rFonts w:ascii="Times New Roman" w:hAnsi="Times New Roman" w:cs="Times New Roman"/>
        </w:rPr>
        <w:t xml:space="preserve"> </w:t>
      </w:r>
      <w:r w:rsidR="00D91A0D" w:rsidRPr="00D54352">
        <w:rPr>
          <w:rFonts w:ascii="Times New Roman" w:hAnsi="Times New Roman" w:cs="Times New Roman"/>
        </w:rPr>
        <w:t xml:space="preserve">indicated a willingness to reconsider </w:t>
      </w:r>
      <w:r w:rsidR="00D91A0D" w:rsidRPr="00D54352">
        <w:rPr>
          <w:rFonts w:ascii="Times New Roman" w:hAnsi="Times New Roman" w:cs="Times New Roman"/>
          <w:i/>
        </w:rPr>
        <w:t>Auer</w:t>
      </w:r>
      <w:r w:rsidR="00D91A0D" w:rsidRPr="00D54352">
        <w:rPr>
          <w:rFonts w:ascii="Times New Roman" w:hAnsi="Times New Roman" w:cs="Times New Roman"/>
        </w:rPr>
        <w:t>:</w:t>
      </w:r>
      <w:r w:rsidR="00EF2C8E" w:rsidRPr="00D54352">
        <w:rPr>
          <w:rFonts w:ascii="Times New Roman" w:hAnsi="Times New Roman" w:cs="Times New Roman"/>
        </w:rPr>
        <w:t xml:space="preserve">  Roberts, C.J.,</w:t>
      </w:r>
      <w:r w:rsidR="00CE0D6D" w:rsidRPr="00D54352">
        <w:rPr>
          <w:rFonts w:ascii="Times New Roman" w:hAnsi="Times New Roman" w:cs="Times New Roman"/>
        </w:rPr>
        <w:t xml:space="preserve"> in</w:t>
      </w:r>
      <w:r w:rsidR="00EF2C8E" w:rsidRPr="00D54352">
        <w:rPr>
          <w:rFonts w:ascii="Times New Roman" w:hAnsi="Times New Roman" w:cs="Times New Roman"/>
        </w:rPr>
        <w:t xml:space="preserve"> </w:t>
      </w:r>
      <w:r w:rsidR="00EF2C8E" w:rsidRPr="00D54352">
        <w:rPr>
          <w:rFonts w:ascii="Times New Roman" w:hAnsi="Times New Roman" w:cs="Times New Roman"/>
          <w:i/>
          <w:color w:val="000000" w:themeColor="text1"/>
        </w:rPr>
        <w:t xml:space="preserve">Decker v. Nw. </w:t>
      </w:r>
      <w:proofErr w:type="spellStart"/>
      <w:r w:rsidR="00EF2C8E" w:rsidRPr="00D54352">
        <w:rPr>
          <w:rFonts w:ascii="Times New Roman" w:hAnsi="Times New Roman" w:cs="Times New Roman"/>
          <w:i/>
          <w:color w:val="000000" w:themeColor="text1"/>
        </w:rPr>
        <w:t>Envtl</w:t>
      </w:r>
      <w:proofErr w:type="spellEnd"/>
      <w:r w:rsidR="00EF2C8E" w:rsidRPr="00D54352">
        <w:rPr>
          <w:rFonts w:ascii="Times New Roman" w:hAnsi="Times New Roman" w:cs="Times New Roman"/>
          <w:i/>
          <w:color w:val="000000" w:themeColor="text1"/>
        </w:rPr>
        <w:t>. Def. Ctr.</w:t>
      </w:r>
      <w:r w:rsidR="00EF2C8E" w:rsidRPr="00D54352">
        <w:rPr>
          <w:rFonts w:ascii="Times New Roman" w:hAnsi="Times New Roman" w:cs="Times New Roman"/>
          <w:color w:val="000000" w:themeColor="text1"/>
        </w:rPr>
        <w:t xml:space="preserve">, 568 U.S. 597 (2013); Thomas, J., </w:t>
      </w:r>
      <w:r w:rsidR="00CE0D6D" w:rsidRPr="00D54352">
        <w:rPr>
          <w:rFonts w:ascii="Times New Roman" w:hAnsi="Times New Roman" w:cs="Times New Roman"/>
          <w:color w:val="000000" w:themeColor="text1"/>
        </w:rPr>
        <w:t xml:space="preserve">in </w:t>
      </w:r>
      <w:r w:rsidR="00EF2C8E" w:rsidRPr="00D54352">
        <w:rPr>
          <w:rFonts w:ascii="Times New Roman" w:eastAsia="Times New Roman" w:hAnsi="Times New Roman" w:cs="Times New Roman"/>
          <w:i/>
          <w:iCs/>
          <w:color w:val="000000"/>
        </w:rPr>
        <w:t xml:space="preserve">Perez v. Mortgage Bankers </w:t>
      </w:r>
      <w:proofErr w:type="spellStart"/>
      <w:r w:rsidR="00EF2C8E" w:rsidRPr="00D54352">
        <w:rPr>
          <w:rFonts w:ascii="Times New Roman" w:eastAsia="Times New Roman" w:hAnsi="Times New Roman" w:cs="Times New Roman"/>
          <w:i/>
          <w:iCs/>
          <w:color w:val="000000"/>
        </w:rPr>
        <w:t>Ass’n</w:t>
      </w:r>
      <w:proofErr w:type="spellEnd"/>
      <w:r w:rsidR="00EF2C8E" w:rsidRPr="00D54352">
        <w:rPr>
          <w:rFonts w:ascii="Times New Roman" w:eastAsia="Times New Roman" w:hAnsi="Times New Roman" w:cs="Times New Roman"/>
          <w:color w:val="000000"/>
        </w:rPr>
        <w:t>, 135 S. Ct. 1199</w:t>
      </w:r>
      <w:r w:rsidR="007E7389" w:rsidRPr="00D54352">
        <w:rPr>
          <w:rFonts w:ascii="Times New Roman" w:eastAsia="Times New Roman" w:hAnsi="Times New Roman" w:cs="Times New Roman"/>
          <w:color w:val="000000"/>
        </w:rPr>
        <w:t>, 1225</w:t>
      </w:r>
      <w:r w:rsidR="009760C7" w:rsidRPr="00D54352">
        <w:rPr>
          <w:rFonts w:ascii="Times New Roman" w:eastAsia="Times New Roman" w:hAnsi="Times New Roman" w:cs="Times New Roman"/>
          <w:color w:val="000000"/>
        </w:rPr>
        <w:t xml:space="preserve"> (2015)</w:t>
      </w:r>
      <w:r w:rsidR="00EF2C8E" w:rsidRPr="00D54352">
        <w:rPr>
          <w:rFonts w:ascii="Times New Roman" w:eastAsia="Times New Roman" w:hAnsi="Times New Roman" w:cs="Times New Roman"/>
          <w:color w:val="000000"/>
        </w:rPr>
        <w:t>; Alito, J.,</w:t>
      </w:r>
      <w:r w:rsidR="009760C7" w:rsidRPr="00D54352">
        <w:rPr>
          <w:rFonts w:ascii="Times New Roman" w:eastAsia="Times New Roman" w:hAnsi="Times New Roman" w:cs="Times New Roman"/>
          <w:color w:val="000000"/>
        </w:rPr>
        <w:t xml:space="preserve"> </w:t>
      </w:r>
      <w:r w:rsidR="00CE0D6D" w:rsidRPr="00D54352">
        <w:rPr>
          <w:rFonts w:ascii="Times New Roman" w:eastAsia="Times New Roman" w:hAnsi="Times New Roman" w:cs="Times New Roman"/>
          <w:color w:val="000000"/>
        </w:rPr>
        <w:t xml:space="preserve">in </w:t>
      </w:r>
      <w:r w:rsidR="00995ECE" w:rsidRPr="00D54352">
        <w:rPr>
          <w:rFonts w:ascii="Times New Roman" w:eastAsia="Times New Roman" w:hAnsi="Times New Roman" w:cs="Times New Roman"/>
          <w:i/>
          <w:iCs/>
          <w:color w:val="000000"/>
        </w:rPr>
        <w:t xml:space="preserve">id. </w:t>
      </w:r>
      <w:proofErr w:type="gramStart"/>
      <w:r w:rsidR="00995ECE" w:rsidRPr="00D54352">
        <w:rPr>
          <w:rFonts w:ascii="Times New Roman" w:eastAsia="Times New Roman" w:hAnsi="Times New Roman" w:cs="Times New Roman"/>
          <w:iCs/>
          <w:color w:val="000000"/>
        </w:rPr>
        <w:t>at</w:t>
      </w:r>
      <w:proofErr w:type="gramEnd"/>
      <w:r w:rsidR="00995ECE" w:rsidRPr="00D54352">
        <w:rPr>
          <w:rFonts w:ascii="Times New Roman" w:eastAsia="Times New Roman" w:hAnsi="Times New Roman" w:cs="Times New Roman"/>
          <w:iCs/>
          <w:color w:val="000000"/>
        </w:rPr>
        <w:t xml:space="preserve"> </w:t>
      </w:r>
      <w:r w:rsidR="007E7389" w:rsidRPr="00D54352">
        <w:rPr>
          <w:rFonts w:ascii="Times New Roman" w:eastAsia="Times New Roman" w:hAnsi="Times New Roman" w:cs="Times New Roman"/>
          <w:color w:val="000000"/>
        </w:rPr>
        <w:t xml:space="preserve">1210; </w:t>
      </w:r>
      <w:r w:rsidR="00EF2C8E" w:rsidRPr="00D54352">
        <w:rPr>
          <w:rFonts w:ascii="Times New Roman" w:eastAsia="Times New Roman" w:hAnsi="Times New Roman" w:cs="Times New Roman"/>
          <w:color w:val="000000"/>
        </w:rPr>
        <w:t>Scalia, J.,</w:t>
      </w:r>
      <w:r w:rsidR="00CE0D6D" w:rsidRPr="00D54352">
        <w:rPr>
          <w:rFonts w:ascii="Times New Roman" w:eastAsia="Times New Roman" w:hAnsi="Times New Roman" w:cs="Times New Roman"/>
          <w:color w:val="000000"/>
        </w:rPr>
        <w:t xml:space="preserve"> in</w:t>
      </w:r>
      <w:r w:rsidR="00EF2C8E" w:rsidRPr="00D54352">
        <w:rPr>
          <w:rFonts w:ascii="Times New Roman" w:eastAsia="Times New Roman" w:hAnsi="Times New Roman" w:cs="Times New Roman"/>
          <w:color w:val="000000"/>
        </w:rPr>
        <w:t xml:space="preserve"> </w:t>
      </w:r>
      <w:r w:rsidR="00995ECE" w:rsidRPr="00D54352">
        <w:rPr>
          <w:rFonts w:ascii="Times New Roman" w:eastAsia="Times New Roman" w:hAnsi="Times New Roman" w:cs="Times New Roman"/>
          <w:i/>
          <w:iCs/>
          <w:color w:val="000000"/>
        </w:rPr>
        <w:t xml:space="preserve">id. </w:t>
      </w:r>
      <w:proofErr w:type="gramStart"/>
      <w:r w:rsidR="00995ECE" w:rsidRPr="00D54352">
        <w:rPr>
          <w:rFonts w:ascii="Times New Roman" w:eastAsia="Times New Roman" w:hAnsi="Times New Roman" w:cs="Times New Roman"/>
          <w:iCs/>
          <w:color w:val="000000"/>
        </w:rPr>
        <w:t>at</w:t>
      </w:r>
      <w:proofErr w:type="gramEnd"/>
      <w:r w:rsidR="00995ECE" w:rsidRPr="00D54352">
        <w:rPr>
          <w:rFonts w:ascii="Times New Roman" w:eastAsia="Times New Roman" w:hAnsi="Times New Roman" w:cs="Times New Roman"/>
          <w:iCs/>
          <w:color w:val="000000"/>
        </w:rPr>
        <w:t xml:space="preserve"> </w:t>
      </w:r>
      <w:r w:rsidR="007E7389" w:rsidRPr="00D54352">
        <w:rPr>
          <w:rFonts w:ascii="Times New Roman" w:eastAsia="Times New Roman" w:hAnsi="Times New Roman" w:cs="Times New Roman"/>
          <w:color w:val="000000"/>
        </w:rPr>
        <w:t>1212-13</w:t>
      </w:r>
      <w:r w:rsidR="00995ECE" w:rsidRPr="00D54352">
        <w:rPr>
          <w:rFonts w:ascii="Times New Roman" w:eastAsia="Times New Roman" w:hAnsi="Times New Roman" w:cs="Times New Roman"/>
          <w:color w:val="000000"/>
        </w:rPr>
        <w:t>.</w:t>
      </w:r>
    </w:p>
    <w:p w14:paraId="7F784386" w14:textId="77777777" w:rsidR="0028791A" w:rsidRPr="007C436F" w:rsidRDefault="0028791A" w:rsidP="0028791A">
      <w:pPr>
        <w:ind w:left="1080"/>
        <w:jc w:val="both"/>
        <w:textAlignment w:val="baseline"/>
        <w:rPr>
          <w:rFonts w:ascii="Times New Roman" w:eastAsia="Times New Roman" w:hAnsi="Times New Roman" w:cs="Times New Roman"/>
          <w:color w:val="212121"/>
        </w:rPr>
      </w:pPr>
    </w:p>
    <w:p w14:paraId="43C3660A" w14:textId="35568473" w:rsidR="00F54279" w:rsidRPr="009B237F" w:rsidRDefault="0060565D" w:rsidP="002567A4">
      <w:pPr>
        <w:numPr>
          <w:ilvl w:val="0"/>
          <w:numId w:val="31"/>
        </w:numPr>
        <w:jc w:val="both"/>
        <w:textAlignment w:val="baseline"/>
        <w:rPr>
          <w:rFonts w:ascii="Times New Roman" w:eastAsia="Times New Roman" w:hAnsi="Times New Roman" w:cs="Times New Roman"/>
          <w:color w:val="212121"/>
        </w:rPr>
      </w:pPr>
      <w:r w:rsidRPr="009B237F">
        <w:rPr>
          <w:rFonts w:ascii="Times New Roman" w:eastAsia="Times New Roman" w:hAnsi="Times New Roman" w:cs="Times New Roman"/>
          <w:color w:val="000000"/>
          <w:sz w:val="28"/>
        </w:rPr>
        <w:t xml:space="preserve">Supreme Court </w:t>
      </w:r>
      <w:r w:rsidR="00F54279" w:rsidRPr="009B237F">
        <w:rPr>
          <w:rFonts w:ascii="Times New Roman" w:eastAsia="Times New Roman" w:hAnsi="Times New Roman" w:cs="Times New Roman"/>
          <w:color w:val="000000"/>
          <w:sz w:val="28"/>
        </w:rPr>
        <w:t>Commentary on</w:t>
      </w:r>
      <w:r w:rsidR="009760C7" w:rsidRPr="009B237F">
        <w:rPr>
          <w:rFonts w:ascii="Times New Roman" w:eastAsia="Times New Roman" w:hAnsi="Times New Roman" w:cs="Times New Roman"/>
          <w:color w:val="000000"/>
          <w:sz w:val="28"/>
        </w:rPr>
        <w:t xml:space="preserve"> the</w:t>
      </w:r>
      <w:r w:rsidRPr="009B237F">
        <w:rPr>
          <w:rFonts w:ascii="Times New Roman" w:eastAsia="Times New Roman" w:hAnsi="Times New Roman" w:cs="Times New Roman"/>
          <w:color w:val="000000"/>
          <w:sz w:val="28"/>
        </w:rPr>
        <w:t xml:space="preserve"> Continued Application of</w:t>
      </w:r>
      <w:r w:rsidR="00F54279" w:rsidRPr="009B237F">
        <w:rPr>
          <w:rFonts w:ascii="Times New Roman" w:eastAsia="Times New Roman" w:hAnsi="Times New Roman" w:cs="Times New Roman"/>
          <w:color w:val="000000"/>
          <w:sz w:val="28"/>
        </w:rPr>
        <w:t xml:space="preserve"> </w:t>
      </w:r>
      <w:r w:rsidR="00F54279" w:rsidRPr="009B237F">
        <w:rPr>
          <w:rFonts w:ascii="Times New Roman" w:eastAsia="Times New Roman" w:hAnsi="Times New Roman" w:cs="Times New Roman"/>
          <w:i/>
          <w:color w:val="000000"/>
          <w:sz w:val="28"/>
        </w:rPr>
        <w:t>Auer</w:t>
      </w:r>
      <w:r w:rsidR="00F54279" w:rsidRPr="009B237F">
        <w:rPr>
          <w:rFonts w:ascii="Times New Roman" w:eastAsia="Times New Roman" w:hAnsi="Times New Roman" w:cs="Times New Roman"/>
          <w:color w:val="000000"/>
          <w:sz w:val="28"/>
        </w:rPr>
        <w:t xml:space="preserve"> and </w:t>
      </w:r>
      <w:r w:rsidR="00F54279" w:rsidRPr="009B237F">
        <w:rPr>
          <w:rFonts w:ascii="Times New Roman" w:eastAsia="Times New Roman" w:hAnsi="Times New Roman" w:cs="Times New Roman"/>
          <w:i/>
          <w:color w:val="000000"/>
          <w:sz w:val="28"/>
        </w:rPr>
        <w:t>Chevron</w:t>
      </w:r>
      <w:r w:rsidR="007C436F" w:rsidRPr="009B237F">
        <w:rPr>
          <w:rFonts w:ascii="Times New Roman" w:hAnsi="Times New Roman" w:cs="Times New Roman"/>
          <w:sz w:val="28"/>
        </w:rPr>
        <w:t xml:space="preserve"> </w:t>
      </w:r>
      <w:r w:rsidR="007C436F" w:rsidRPr="009B237F">
        <w:rPr>
          <w:rFonts w:ascii="Times New Roman" w:eastAsia="Times New Roman" w:hAnsi="Times New Roman" w:cs="Times New Roman"/>
          <w:color w:val="000000"/>
          <w:sz w:val="28"/>
        </w:rPr>
        <w:t>Deference</w:t>
      </w:r>
    </w:p>
    <w:p w14:paraId="5323FD07" w14:textId="77777777" w:rsidR="001B70CB" w:rsidRPr="007C436F" w:rsidRDefault="001B70CB" w:rsidP="009B237F">
      <w:pPr>
        <w:ind w:left="360"/>
        <w:jc w:val="both"/>
        <w:textAlignment w:val="baseline"/>
        <w:rPr>
          <w:rFonts w:ascii="Times New Roman" w:eastAsia="Times New Roman" w:hAnsi="Times New Roman" w:cs="Times New Roman"/>
          <w:color w:val="212121"/>
        </w:rPr>
      </w:pPr>
    </w:p>
    <w:p w14:paraId="3A2E58F0" w14:textId="0AB69F2D" w:rsidR="00C51A91" w:rsidRPr="007C436F" w:rsidRDefault="001445BB" w:rsidP="00495E6A">
      <w:pPr>
        <w:numPr>
          <w:ilvl w:val="1"/>
          <w:numId w:val="31"/>
        </w:numPr>
        <w:jc w:val="both"/>
        <w:textAlignment w:val="baseline"/>
        <w:rPr>
          <w:rFonts w:ascii="Times New Roman" w:eastAsia="Times New Roman" w:hAnsi="Times New Roman" w:cs="Times New Roman"/>
          <w:color w:val="212121"/>
        </w:rPr>
      </w:pPr>
      <w:r>
        <w:rPr>
          <w:rFonts w:ascii="Times New Roman" w:eastAsia="Times New Roman" w:hAnsi="Times New Roman" w:cs="Times New Roman"/>
          <w:color w:val="000000"/>
        </w:rPr>
        <w:t>C.J. Roberts</w:t>
      </w:r>
    </w:p>
    <w:p w14:paraId="1F16B7B8" w14:textId="26FBB452" w:rsidR="00495E6A" w:rsidRPr="009B237F" w:rsidRDefault="0027628C" w:rsidP="00EF2C8E">
      <w:pPr>
        <w:numPr>
          <w:ilvl w:val="2"/>
          <w:numId w:val="31"/>
        </w:numPr>
        <w:jc w:val="both"/>
        <w:textAlignment w:val="baseline"/>
        <w:rPr>
          <w:rFonts w:ascii="Times New Roman" w:eastAsia="Times New Roman" w:hAnsi="Times New Roman" w:cs="Times New Roman"/>
          <w:color w:val="212121"/>
        </w:rPr>
      </w:pPr>
      <w:r w:rsidRPr="007C436F">
        <w:rPr>
          <w:rFonts w:ascii="Times New Roman" w:eastAsia="Times New Roman" w:hAnsi="Times New Roman" w:cs="Times New Roman"/>
          <w:i/>
          <w:color w:val="000000"/>
        </w:rPr>
        <w:t>City of Arlington, Tex. v. F.C.C.</w:t>
      </w:r>
      <w:r w:rsidRPr="007C436F">
        <w:rPr>
          <w:rFonts w:ascii="Times New Roman" w:eastAsia="Times New Roman" w:hAnsi="Times New Roman" w:cs="Times New Roman"/>
          <w:color w:val="000000"/>
        </w:rPr>
        <w:t xml:space="preserve">, 569 U.S. 290, 327 (2013) </w:t>
      </w:r>
      <w:r w:rsidRPr="007C436F">
        <w:rPr>
          <w:rFonts w:ascii="Times New Roman" w:eastAsia="Times New Roman" w:hAnsi="Times New Roman" w:cs="Times New Roman"/>
          <w:color w:val="222222"/>
          <w:shd w:val="clear" w:color="auto" w:fill="FFFFFF"/>
        </w:rPr>
        <w:t xml:space="preserve">(Roberts, C.J., dissenting) (“The Court touches on a legitimate concern: </w:t>
      </w:r>
      <w:r w:rsidRPr="007C436F">
        <w:rPr>
          <w:rFonts w:ascii="Times New Roman" w:eastAsia="Times New Roman" w:hAnsi="Times New Roman" w:cs="Times New Roman"/>
          <w:i/>
          <w:iCs/>
          <w:color w:val="222222"/>
          <w:shd w:val="clear" w:color="auto" w:fill="FFFFFF"/>
        </w:rPr>
        <w:t>Chevron</w:t>
      </w:r>
      <w:r w:rsidRPr="007C436F">
        <w:rPr>
          <w:rFonts w:ascii="Times New Roman" w:eastAsia="Times New Roman" w:hAnsi="Times New Roman" w:cs="Times New Roman"/>
          <w:color w:val="222222"/>
          <w:shd w:val="clear" w:color="auto" w:fill="FFFFFF"/>
        </w:rPr>
        <w:t xml:space="preserve"> importantly guards against the Judiciary arrogating to itself policymaking properly left, under the separation of powers, to the Executive. </w:t>
      </w:r>
      <w:r w:rsidR="0028791A" w:rsidRPr="007C436F">
        <w:rPr>
          <w:rFonts w:ascii="Times New Roman" w:eastAsia="Times New Roman" w:hAnsi="Times New Roman" w:cs="Times New Roman"/>
          <w:color w:val="222222"/>
          <w:shd w:val="clear" w:color="auto" w:fill="FFFFFF"/>
        </w:rPr>
        <w:t xml:space="preserve"> </w:t>
      </w:r>
      <w:r w:rsidRPr="007C436F">
        <w:rPr>
          <w:rFonts w:ascii="Times New Roman" w:eastAsia="Times New Roman" w:hAnsi="Times New Roman" w:cs="Times New Roman"/>
          <w:color w:val="222222"/>
          <w:shd w:val="clear" w:color="auto" w:fill="FFFFFF"/>
        </w:rPr>
        <w:t>But there is another concern at play, no less firmly rooted in our constitutional structure. That is the obligation of the Judiciary not only to confine itself to its proper role, but to ensure that the other branches do so as well.”).</w:t>
      </w:r>
    </w:p>
    <w:p w14:paraId="214185D5" w14:textId="77777777" w:rsidR="00FA25D3" w:rsidRPr="007C436F" w:rsidRDefault="00FA25D3" w:rsidP="009B237F">
      <w:pPr>
        <w:ind w:left="1800"/>
        <w:jc w:val="both"/>
        <w:textAlignment w:val="baseline"/>
        <w:rPr>
          <w:rFonts w:ascii="Times New Roman" w:eastAsia="Times New Roman" w:hAnsi="Times New Roman" w:cs="Times New Roman"/>
          <w:color w:val="212121"/>
        </w:rPr>
      </w:pPr>
    </w:p>
    <w:p w14:paraId="4592E117" w14:textId="44979647" w:rsidR="00F54279" w:rsidRPr="007C436F" w:rsidRDefault="00F54279" w:rsidP="00495E6A">
      <w:pPr>
        <w:numPr>
          <w:ilvl w:val="1"/>
          <w:numId w:val="31"/>
        </w:numPr>
        <w:jc w:val="both"/>
        <w:textAlignment w:val="baseline"/>
        <w:rPr>
          <w:rFonts w:ascii="Times New Roman" w:eastAsia="Times New Roman" w:hAnsi="Times New Roman" w:cs="Times New Roman"/>
          <w:color w:val="212121"/>
        </w:rPr>
      </w:pPr>
      <w:r w:rsidRPr="007C436F">
        <w:rPr>
          <w:rFonts w:ascii="Times New Roman" w:eastAsia="Times New Roman" w:hAnsi="Times New Roman" w:cs="Times New Roman"/>
          <w:color w:val="000000"/>
        </w:rPr>
        <w:t>J. Thomas</w:t>
      </w:r>
    </w:p>
    <w:p w14:paraId="75DB0798" w14:textId="289E711C" w:rsidR="00A7209C" w:rsidRPr="007C436F" w:rsidRDefault="00A7209C" w:rsidP="00A7209C">
      <w:pPr>
        <w:numPr>
          <w:ilvl w:val="2"/>
          <w:numId w:val="31"/>
        </w:numPr>
        <w:jc w:val="both"/>
        <w:textAlignment w:val="baseline"/>
        <w:rPr>
          <w:rFonts w:ascii="Times New Roman" w:eastAsia="Times New Roman" w:hAnsi="Times New Roman" w:cs="Times New Roman"/>
          <w:color w:val="212121"/>
        </w:rPr>
      </w:pPr>
      <w:proofErr w:type="spellStart"/>
      <w:r w:rsidRPr="007C436F">
        <w:rPr>
          <w:rFonts w:ascii="Times New Roman" w:eastAsia="Times New Roman" w:hAnsi="Times New Roman" w:cs="Times New Roman"/>
          <w:i/>
          <w:color w:val="212121"/>
        </w:rPr>
        <w:t>Cuozzo</w:t>
      </w:r>
      <w:proofErr w:type="spellEnd"/>
      <w:r w:rsidRPr="007C436F">
        <w:rPr>
          <w:rFonts w:ascii="Times New Roman" w:eastAsia="Times New Roman" w:hAnsi="Times New Roman" w:cs="Times New Roman"/>
          <w:i/>
          <w:color w:val="212121"/>
        </w:rPr>
        <w:t xml:space="preserve"> </w:t>
      </w:r>
      <w:r w:rsidR="00ED5D75" w:rsidRPr="007C436F">
        <w:rPr>
          <w:rFonts w:ascii="Times New Roman" w:eastAsia="Times New Roman" w:hAnsi="Times New Roman" w:cs="Times New Roman"/>
          <w:i/>
          <w:color w:val="212121"/>
        </w:rPr>
        <w:t>Speed Techs</w:t>
      </w:r>
      <w:r w:rsidR="00EC3605">
        <w:rPr>
          <w:rFonts w:ascii="Times New Roman" w:eastAsia="Times New Roman" w:hAnsi="Times New Roman" w:cs="Times New Roman"/>
          <w:i/>
          <w:color w:val="212121"/>
        </w:rPr>
        <w:t>.</w:t>
      </w:r>
      <w:r w:rsidR="00ED5D75" w:rsidRPr="007C436F">
        <w:rPr>
          <w:rFonts w:ascii="Times New Roman" w:eastAsia="Times New Roman" w:hAnsi="Times New Roman" w:cs="Times New Roman"/>
          <w:i/>
          <w:color w:val="212121"/>
        </w:rPr>
        <w:t xml:space="preserve">, LLC </w:t>
      </w:r>
      <w:r w:rsidRPr="007C436F">
        <w:rPr>
          <w:rFonts w:ascii="Times New Roman" w:eastAsia="Times New Roman" w:hAnsi="Times New Roman" w:cs="Times New Roman"/>
          <w:i/>
          <w:color w:val="212121"/>
        </w:rPr>
        <w:t>v</w:t>
      </w:r>
      <w:r w:rsidR="00ED5D75" w:rsidRPr="007C436F">
        <w:rPr>
          <w:rFonts w:ascii="Times New Roman" w:eastAsia="Times New Roman" w:hAnsi="Times New Roman" w:cs="Times New Roman"/>
          <w:i/>
          <w:color w:val="212121"/>
        </w:rPr>
        <w:t>.</w:t>
      </w:r>
      <w:r w:rsidRPr="007C436F">
        <w:rPr>
          <w:rFonts w:ascii="Times New Roman" w:eastAsia="Times New Roman" w:hAnsi="Times New Roman" w:cs="Times New Roman"/>
          <w:i/>
          <w:color w:val="212121"/>
        </w:rPr>
        <w:t xml:space="preserve"> Lee</w:t>
      </w:r>
      <w:r w:rsidR="00ED5D75" w:rsidRPr="007C436F">
        <w:rPr>
          <w:rFonts w:ascii="Times New Roman" w:eastAsia="Times New Roman" w:hAnsi="Times New Roman" w:cs="Times New Roman"/>
          <w:color w:val="212121"/>
        </w:rPr>
        <w:t>, 136 S. Ct. 2131, 2148</w:t>
      </w:r>
      <w:r w:rsidR="001B70CB">
        <w:rPr>
          <w:rFonts w:ascii="Times New Roman" w:eastAsia="Times New Roman" w:hAnsi="Times New Roman" w:cs="Times New Roman"/>
          <w:color w:val="212121"/>
        </w:rPr>
        <w:t xml:space="preserve"> (2016)</w:t>
      </w:r>
      <w:r w:rsidR="009760C7">
        <w:rPr>
          <w:rFonts w:ascii="Times New Roman" w:eastAsia="Times New Roman" w:hAnsi="Times New Roman" w:cs="Times New Roman"/>
          <w:color w:val="212121"/>
        </w:rPr>
        <w:t xml:space="preserve"> (Thomas, J., concurring) (</w:t>
      </w:r>
      <w:r w:rsidRPr="007C436F">
        <w:rPr>
          <w:rFonts w:ascii="Times New Roman" w:eastAsia="Times New Roman" w:hAnsi="Times New Roman" w:cs="Times New Roman"/>
          <w:color w:val="212121"/>
        </w:rPr>
        <w:t>“[T]</w:t>
      </w:r>
      <w:proofErr w:type="spellStart"/>
      <w:r w:rsidRPr="007C436F">
        <w:rPr>
          <w:rFonts w:ascii="Times New Roman" w:eastAsia="Times New Roman" w:hAnsi="Times New Roman" w:cs="Times New Roman"/>
          <w:color w:val="212121"/>
        </w:rPr>
        <w:t>oday's</w:t>
      </w:r>
      <w:proofErr w:type="spellEnd"/>
      <w:r w:rsidRPr="007C436F">
        <w:rPr>
          <w:rFonts w:ascii="Times New Roman" w:eastAsia="Times New Roman" w:hAnsi="Times New Roman" w:cs="Times New Roman"/>
          <w:color w:val="212121"/>
        </w:rPr>
        <w:t xml:space="preserve"> decision does not rest on </w:t>
      </w:r>
      <w:r w:rsidRPr="009B237F">
        <w:rPr>
          <w:rFonts w:ascii="Times New Roman" w:eastAsia="Times New Roman" w:hAnsi="Times New Roman" w:cs="Times New Roman"/>
          <w:i/>
          <w:color w:val="212121"/>
        </w:rPr>
        <w:t>Chevron</w:t>
      </w:r>
      <w:r w:rsidR="001B70CB">
        <w:rPr>
          <w:rFonts w:ascii="Times New Roman" w:eastAsia="Times New Roman" w:hAnsi="Times New Roman" w:cs="Times New Roman"/>
          <w:i/>
          <w:color w:val="212121"/>
        </w:rPr>
        <w:t>’</w:t>
      </w:r>
      <w:r w:rsidRPr="009B237F">
        <w:rPr>
          <w:rFonts w:ascii="Times New Roman" w:eastAsia="Times New Roman" w:hAnsi="Times New Roman" w:cs="Times New Roman"/>
          <w:i/>
          <w:color w:val="212121"/>
        </w:rPr>
        <w:t>s</w:t>
      </w:r>
      <w:r w:rsidRPr="007C436F">
        <w:rPr>
          <w:rFonts w:ascii="Times New Roman" w:eastAsia="Times New Roman" w:hAnsi="Times New Roman" w:cs="Times New Roman"/>
          <w:color w:val="212121"/>
        </w:rPr>
        <w:t xml:space="preserve"> fiction that ambiguity in a statutory term is best construed as an implicit delegation of power to an administrative agency to determine the bounds of the law. In an </w:t>
      </w:r>
      <w:r w:rsidRPr="007C436F">
        <w:rPr>
          <w:rFonts w:ascii="Times New Roman" w:eastAsia="Times New Roman" w:hAnsi="Times New Roman" w:cs="Times New Roman"/>
          <w:color w:val="212121"/>
        </w:rPr>
        <w:lastRenderedPageBreak/>
        <w:t xml:space="preserve">appropriate case, this Court should reconsider that fiction of </w:t>
      </w:r>
      <w:r w:rsidRPr="009B237F">
        <w:rPr>
          <w:rFonts w:ascii="Times New Roman" w:eastAsia="Times New Roman" w:hAnsi="Times New Roman" w:cs="Times New Roman"/>
          <w:i/>
          <w:color w:val="212121"/>
        </w:rPr>
        <w:t>Chevron</w:t>
      </w:r>
      <w:r w:rsidRPr="007C436F">
        <w:rPr>
          <w:rFonts w:ascii="Times New Roman" w:eastAsia="Times New Roman" w:hAnsi="Times New Roman" w:cs="Times New Roman"/>
          <w:color w:val="212121"/>
        </w:rPr>
        <w:t xml:space="preserve"> and its progeny.”</w:t>
      </w:r>
      <w:r w:rsidR="009760C7">
        <w:rPr>
          <w:rFonts w:ascii="Times New Roman" w:eastAsia="Times New Roman" w:hAnsi="Times New Roman" w:cs="Times New Roman"/>
          <w:color w:val="212121"/>
        </w:rPr>
        <w:t>).</w:t>
      </w:r>
    </w:p>
    <w:p w14:paraId="2ED201A1" w14:textId="5156467D" w:rsidR="00E47607" w:rsidRPr="007C436F" w:rsidRDefault="00F54279" w:rsidP="00D30AAE">
      <w:pPr>
        <w:numPr>
          <w:ilvl w:val="2"/>
          <w:numId w:val="31"/>
        </w:numPr>
        <w:jc w:val="both"/>
        <w:textAlignment w:val="baseline"/>
        <w:rPr>
          <w:rFonts w:ascii="Times New Roman" w:eastAsia="Times New Roman" w:hAnsi="Times New Roman" w:cs="Times New Roman"/>
          <w:color w:val="212121"/>
        </w:rPr>
      </w:pPr>
      <w:r w:rsidRPr="007C436F">
        <w:rPr>
          <w:rFonts w:ascii="Times New Roman" w:eastAsia="Times New Roman" w:hAnsi="Times New Roman" w:cs="Times New Roman"/>
          <w:i/>
          <w:iCs/>
          <w:color w:val="222222"/>
          <w:shd w:val="clear" w:color="auto" w:fill="FFFFFF"/>
        </w:rPr>
        <w:t>Michigan v. E.P.A.</w:t>
      </w:r>
      <w:r w:rsidRPr="007C436F">
        <w:rPr>
          <w:rFonts w:ascii="Times New Roman" w:eastAsia="Times New Roman" w:hAnsi="Times New Roman" w:cs="Times New Roman"/>
          <w:color w:val="222222"/>
          <w:shd w:val="clear" w:color="auto" w:fill="FFFFFF"/>
        </w:rPr>
        <w:t>, 135 S. Ct. 2699, 2712 (2015) (Thomas, J., dissenting) (“I write separately to note that [the EPA’s] request for deference raises serious questions about the constitutionality of our broader practice of deferring to agency interpretation</w:t>
      </w:r>
      <w:r w:rsidR="00D30AAE" w:rsidRPr="007C436F">
        <w:rPr>
          <w:rFonts w:ascii="Times New Roman" w:eastAsia="Times New Roman" w:hAnsi="Times New Roman" w:cs="Times New Roman"/>
          <w:color w:val="222222"/>
          <w:shd w:val="clear" w:color="auto" w:fill="FFFFFF"/>
        </w:rPr>
        <w:t>s of federal statutes.</w:t>
      </w:r>
      <w:r w:rsidR="00030F24" w:rsidRPr="007C436F">
        <w:rPr>
          <w:rFonts w:ascii="Times New Roman" w:eastAsia="Times New Roman" w:hAnsi="Times New Roman" w:cs="Times New Roman"/>
          <w:color w:val="000000"/>
        </w:rPr>
        <w:t xml:space="preserve"> . . . </w:t>
      </w:r>
      <w:r w:rsidR="00E47607" w:rsidRPr="007C436F">
        <w:rPr>
          <w:rFonts w:ascii="Times New Roman" w:eastAsia="Times New Roman" w:hAnsi="Times New Roman" w:cs="Times New Roman"/>
          <w:i/>
          <w:iCs/>
          <w:color w:val="000000"/>
          <w:shd w:val="clear" w:color="auto" w:fill="FFFFFF"/>
        </w:rPr>
        <w:t>Chevron</w:t>
      </w:r>
      <w:r w:rsidR="00E47607" w:rsidRPr="007C436F">
        <w:rPr>
          <w:rFonts w:ascii="Times New Roman" w:eastAsia="Times New Roman" w:hAnsi="Times New Roman" w:cs="Times New Roman"/>
          <w:color w:val="000000"/>
          <w:shd w:val="clear" w:color="auto" w:fill="FFFFFF"/>
        </w:rPr>
        <w:t xml:space="preserve"> deference raises serious separation-of-powers questions.</w:t>
      </w:r>
      <w:r w:rsidR="00E47607" w:rsidRPr="007C436F">
        <w:rPr>
          <w:rFonts w:ascii="Times New Roman" w:eastAsia="Times New Roman" w:hAnsi="Times New Roman" w:cs="Times New Roman"/>
          <w:color w:val="000000"/>
        </w:rPr>
        <w:t>”) (</w:t>
      </w:r>
      <w:proofErr w:type="gramStart"/>
      <w:r w:rsidR="00E47607" w:rsidRPr="007C436F">
        <w:rPr>
          <w:rFonts w:ascii="Times New Roman" w:eastAsia="Times New Roman" w:hAnsi="Times New Roman" w:cs="Times New Roman"/>
          <w:color w:val="000000"/>
        </w:rPr>
        <w:t>internal</w:t>
      </w:r>
      <w:proofErr w:type="gramEnd"/>
      <w:r w:rsidR="00E47607" w:rsidRPr="007C436F">
        <w:rPr>
          <w:rFonts w:ascii="Times New Roman" w:eastAsia="Times New Roman" w:hAnsi="Times New Roman" w:cs="Times New Roman"/>
          <w:color w:val="000000"/>
        </w:rPr>
        <w:t xml:space="preserve"> citations and quotation marks omitted).</w:t>
      </w:r>
    </w:p>
    <w:p w14:paraId="499541E6" w14:textId="5A615554" w:rsidR="0028791A" w:rsidRPr="009B237F" w:rsidRDefault="00F54279" w:rsidP="00EF2C8E">
      <w:pPr>
        <w:numPr>
          <w:ilvl w:val="2"/>
          <w:numId w:val="31"/>
        </w:numPr>
        <w:jc w:val="both"/>
        <w:textAlignment w:val="baseline"/>
        <w:rPr>
          <w:rFonts w:ascii="Times New Roman" w:eastAsia="Times New Roman" w:hAnsi="Times New Roman" w:cs="Times New Roman"/>
          <w:color w:val="212121"/>
        </w:rPr>
      </w:pPr>
      <w:r w:rsidRPr="007C436F">
        <w:rPr>
          <w:rFonts w:ascii="Times New Roman" w:eastAsia="Times New Roman" w:hAnsi="Times New Roman" w:cs="Times New Roman"/>
          <w:i/>
          <w:iCs/>
          <w:color w:val="000000"/>
        </w:rPr>
        <w:t>Perez</w:t>
      </w:r>
      <w:r w:rsidRPr="007C436F">
        <w:rPr>
          <w:rFonts w:ascii="Times New Roman" w:eastAsia="Times New Roman" w:hAnsi="Times New Roman" w:cs="Times New Roman"/>
          <w:color w:val="000000"/>
        </w:rPr>
        <w:t xml:space="preserve">, 135 S. Ct. </w:t>
      </w:r>
      <w:r w:rsidR="0017199F" w:rsidRPr="007C436F">
        <w:rPr>
          <w:rFonts w:ascii="Times New Roman" w:eastAsia="Times New Roman" w:hAnsi="Times New Roman" w:cs="Times New Roman"/>
          <w:color w:val="000000"/>
        </w:rPr>
        <w:t>at</w:t>
      </w:r>
      <w:r w:rsidR="00B6784C" w:rsidRPr="007C436F">
        <w:rPr>
          <w:rFonts w:ascii="Times New Roman" w:eastAsia="Times New Roman" w:hAnsi="Times New Roman" w:cs="Times New Roman"/>
          <w:color w:val="000000"/>
        </w:rPr>
        <w:t xml:space="preserve"> 1213</w:t>
      </w:r>
      <w:r w:rsidRPr="007C436F">
        <w:rPr>
          <w:rFonts w:ascii="Times New Roman" w:eastAsia="Times New Roman" w:hAnsi="Times New Roman" w:cs="Times New Roman"/>
          <w:color w:val="000000"/>
        </w:rPr>
        <w:t xml:space="preserve"> (Thomas, J., concurring) (“</w:t>
      </w:r>
      <w:r w:rsidR="007936D3" w:rsidRPr="007C436F">
        <w:rPr>
          <w:rFonts w:ascii="Times New Roman" w:eastAsia="Times New Roman" w:hAnsi="Times New Roman" w:cs="Times New Roman"/>
          <w:color w:val="000000"/>
        </w:rPr>
        <w:t>[T]</w:t>
      </w:r>
      <w:proofErr w:type="spellStart"/>
      <w:r w:rsidRPr="007C436F">
        <w:rPr>
          <w:rFonts w:ascii="Times New Roman" w:eastAsia="Times New Roman" w:hAnsi="Times New Roman" w:cs="Times New Roman"/>
          <w:color w:val="000000"/>
        </w:rPr>
        <w:t>hese</w:t>
      </w:r>
      <w:proofErr w:type="spellEnd"/>
      <w:r w:rsidRPr="007C436F">
        <w:rPr>
          <w:rFonts w:ascii="Times New Roman" w:eastAsia="Times New Roman" w:hAnsi="Times New Roman" w:cs="Times New Roman"/>
          <w:color w:val="000000"/>
        </w:rPr>
        <w:t xml:space="preserve"> cases call into question the legitimacy of our precedents requiring deference to administrative interpretations of regula</w:t>
      </w:r>
      <w:r w:rsidR="007936D3" w:rsidRPr="007C436F">
        <w:rPr>
          <w:rFonts w:ascii="Times New Roman" w:eastAsia="Times New Roman" w:hAnsi="Times New Roman" w:cs="Times New Roman"/>
          <w:color w:val="000000"/>
        </w:rPr>
        <w:t xml:space="preserve">tions. That line of precedents . . . </w:t>
      </w:r>
      <w:proofErr w:type="spellStart"/>
      <w:proofErr w:type="gramStart"/>
      <w:r w:rsidR="007936D3" w:rsidRPr="007C436F">
        <w:rPr>
          <w:rFonts w:ascii="Times New Roman" w:eastAsia="Times New Roman" w:hAnsi="Times New Roman" w:cs="Times New Roman"/>
          <w:color w:val="000000"/>
        </w:rPr>
        <w:t>giv</w:t>
      </w:r>
      <w:proofErr w:type="spellEnd"/>
      <w:r w:rsidR="007936D3" w:rsidRPr="007C436F">
        <w:rPr>
          <w:rFonts w:ascii="Times New Roman" w:eastAsia="Times New Roman" w:hAnsi="Times New Roman" w:cs="Times New Roman"/>
          <w:color w:val="000000"/>
        </w:rPr>
        <w:t>[</w:t>
      </w:r>
      <w:proofErr w:type="spellStart"/>
      <w:proofErr w:type="gramEnd"/>
      <w:r w:rsidR="007936D3" w:rsidRPr="007C436F">
        <w:rPr>
          <w:rFonts w:ascii="Times New Roman" w:eastAsia="Times New Roman" w:hAnsi="Times New Roman" w:cs="Times New Roman"/>
          <w:color w:val="000000"/>
        </w:rPr>
        <w:t>es</w:t>
      </w:r>
      <w:proofErr w:type="spellEnd"/>
      <w:r w:rsidR="007936D3" w:rsidRPr="007C436F">
        <w:rPr>
          <w:rFonts w:ascii="Times New Roman" w:eastAsia="Times New Roman" w:hAnsi="Times New Roman" w:cs="Times New Roman"/>
          <w:color w:val="000000"/>
        </w:rPr>
        <w:t>]</w:t>
      </w:r>
      <w:r w:rsidRPr="007C436F">
        <w:rPr>
          <w:rFonts w:ascii="Times New Roman" w:eastAsia="Times New Roman" w:hAnsi="Times New Roman" w:cs="Times New Roman"/>
          <w:color w:val="000000"/>
        </w:rPr>
        <w:t xml:space="preserve"> legal effect to the interpretations rather than the regulations themselves. Because this doctrine effects a transfer of the judicial power to an executive agency, it raises constitutional concerns. This line of precedents undermines our obligation to provide a judicial check on the other branches, and it subjects regulated parties to precisely the abuses that the Framers sought to prevent.”).</w:t>
      </w:r>
    </w:p>
    <w:p w14:paraId="63136249" w14:textId="77777777" w:rsidR="00FA25D3" w:rsidRPr="007C436F" w:rsidRDefault="00FA25D3" w:rsidP="009B237F">
      <w:pPr>
        <w:ind w:left="1800"/>
        <w:jc w:val="both"/>
        <w:textAlignment w:val="baseline"/>
        <w:rPr>
          <w:rFonts w:ascii="Times New Roman" w:eastAsia="Times New Roman" w:hAnsi="Times New Roman" w:cs="Times New Roman"/>
          <w:color w:val="212121"/>
        </w:rPr>
      </w:pPr>
    </w:p>
    <w:p w14:paraId="7E0DE82C" w14:textId="701F1C91" w:rsidR="0028791A" w:rsidRPr="007C436F" w:rsidRDefault="0028791A" w:rsidP="00495E6A">
      <w:pPr>
        <w:numPr>
          <w:ilvl w:val="1"/>
          <w:numId w:val="31"/>
        </w:numPr>
        <w:jc w:val="both"/>
        <w:textAlignment w:val="baseline"/>
        <w:rPr>
          <w:rFonts w:ascii="Times New Roman" w:eastAsia="Times New Roman" w:hAnsi="Times New Roman" w:cs="Times New Roman"/>
          <w:color w:val="212121"/>
        </w:rPr>
      </w:pPr>
      <w:r w:rsidRPr="007C436F">
        <w:rPr>
          <w:rFonts w:ascii="Times New Roman" w:eastAsia="Times New Roman" w:hAnsi="Times New Roman" w:cs="Times New Roman"/>
          <w:color w:val="000000"/>
        </w:rPr>
        <w:t>J. Gorsuch</w:t>
      </w:r>
    </w:p>
    <w:p w14:paraId="7690D518" w14:textId="43AEB30A" w:rsidR="0028791A" w:rsidRPr="009B237F" w:rsidRDefault="0028791A" w:rsidP="00495E6A">
      <w:pPr>
        <w:numPr>
          <w:ilvl w:val="2"/>
          <w:numId w:val="31"/>
        </w:numPr>
        <w:jc w:val="both"/>
        <w:textAlignment w:val="baseline"/>
        <w:rPr>
          <w:rFonts w:ascii="Times New Roman" w:eastAsia="Times New Roman" w:hAnsi="Times New Roman" w:cs="Times New Roman"/>
          <w:color w:val="212121"/>
        </w:rPr>
      </w:pPr>
      <w:r w:rsidRPr="007C436F">
        <w:rPr>
          <w:rFonts w:ascii="Times New Roman" w:eastAsia="Times New Roman" w:hAnsi="Times New Roman" w:cs="Times New Roman"/>
          <w:i/>
          <w:color w:val="000000"/>
        </w:rPr>
        <w:t>Gutierrez-</w:t>
      </w:r>
      <w:proofErr w:type="spellStart"/>
      <w:r w:rsidRPr="007C436F">
        <w:rPr>
          <w:rFonts w:ascii="Times New Roman" w:eastAsia="Times New Roman" w:hAnsi="Times New Roman" w:cs="Times New Roman"/>
          <w:i/>
          <w:color w:val="000000"/>
        </w:rPr>
        <w:t>Brizuela</w:t>
      </w:r>
      <w:proofErr w:type="spellEnd"/>
      <w:r w:rsidRPr="007C436F">
        <w:rPr>
          <w:rFonts w:ascii="Times New Roman" w:eastAsia="Times New Roman" w:hAnsi="Times New Roman" w:cs="Times New Roman"/>
          <w:i/>
          <w:color w:val="000000"/>
        </w:rPr>
        <w:t xml:space="preserve"> v. Lynch</w:t>
      </w:r>
      <w:r w:rsidRPr="007C436F">
        <w:rPr>
          <w:rFonts w:ascii="Times New Roman" w:eastAsia="Times New Roman" w:hAnsi="Times New Roman" w:cs="Times New Roman"/>
          <w:color w:val="000000"/>
        </w:rPr>
        <w:t xml:space="preserve">, 834 F.3d 1142, 1149 (10th Cir. 2016) (Gorsuch, J., concurring) (“There's an elephant in the room with us today. We have studiously attempted to work our way around it and even left it unremarked. But the fact is </w:t>
      </w:r>
      <w:r w:rsidRPr="007C436F">
        <w:rPr>
          <w:rFonts w:ascii="Times New Roman" w:eastAsia="Times New Roman" w:hAnsi="Times New Roman" w:cs="Times New Roman"/>
          <w:i/>
          <w:iCs/>
          <w:color w:val="000000"/>
        </w:rPr>
        <w:t>Chevron</w:t>
      </w:r>
      <w:r w:rsidRPr="007C436F">
        <w:rPr>
          <w:rFonts w:ascii="Times New Roman" w:eastAsia="Times New Roman" w:hAnsi="Times New Roman" w:cs="Times New Roman"/>
          <w:color w:val="000000"/>
        </w:rPr>
        <w:t xml:space="preserve"> and </w:t>
      </w:r>
      <w:r w:rsidRPr="007C436F">
        <w:rPr>
          <w:rFonts w:ascii="Times New Roman" w:eastAsia="Times New Roman" w:hAnsi="Times New Roman" w:cs="Times New Roman"/>
          <w:i/>
          <w:iCs/>
          <w:color w:val="000000"/>
        </w:rPr>
        <w:t>Brand X</w:t>
      </w:r>
      <w:r w:rsidRPr="007C436F">
        <w:rPr>
          <w:rFonts w:ascii="Times New Roman" w:eastAsia="Times New Roman" w:hAnsi="Times New Roman" w:cs="Times New Roman"/>
          <w:color w:val="000000"/>
        </w:rPr>
        <w:t xml:space="preserve"> permit executive bureaucracies to swallow huge amounts of core judicial and legislative power and concentrate federal power in a way that seems more than a little difficult to square with the Constitution of the framers</w:t>
      </w:r>
      <w:r w:rsidR="001B70CB">
        <w:rPr>
          <w:rFonts w:ascii="Times New Roman" w:eastAsia="Times New Roman" w:hAnsi="Times New Roman" w:cs="Times New Roman"/>
          <w:color w:val="000000"/>
        </w:rPr>
        <w:t>’</w:t>
      </w:r>
      <w:r w:rsidRPr="007C436F">
        <w:rPr>
          <w:rFonts w:ascii="Times New Roman" w:eastAsia="Times New Roman" w:hAnsi="Times New Roman" w:cs="Times New Roman"/>
          <w:color w:val="000000"/>
        </w:rPr>
        <w:t xml:space="preserve"> design. Maybe the time has come to face the behemoth.”).</w:t>
      </w:r>
    </w:p>
    <w:p w14:paraId="2EE409B0" w14:textId="77777777" w:rsidR="00FA25D3" w:rsidRPr="007C436F" w:rsidRDefault="00FA25D3" w:rsidP="009B237F">
      <w:pPr>
        <w:ind w:left="1800"/>
        <w:jc w:val="both"/>
        <w:textAlignment w:val="baseline"/>
        <w:rPr>
          <w:rFonts w:ascii="Times New Roman" w:eastAsia="Times New Roman" w:hAnsi="Times New Roman" w:cs="Times New Roman"/>
          <w:color w:val="212121"/>
        </w:rPr>
      </w:pPr>
    </w:p>
    <w:p w14:paraId="2D4BF653" w14:textId="0189E29C" w:rsidR="00C51A91" w:rsidRPr="007C436F" w:rsidRDefault="00F54279" w:rsidP="00495E6A">
      <w:pPr>
        <w:numPr>
          <w:ilvl w:val="1"/>
          <w:numId w:val="31"/>
        </w:numPr>
        <w:jc w:val="both"/>
        <w:textAlignment w:val="baseline"/>
        <w:rPr>
          <w:rFonts w:ascii="Times New Roman" w:eastAsia="Times New Roman" w:hAnsi="Times New Roman" w:cs="Times New Roman"/>
          <w:color w:val="212121"/>
        </w:rPr>
      </w:pPr>
      <w:r w:rsidRPr="007C436F">
        <w:rPr>
          <w:rFonts w:ascii="Times New Roman" w:eastAsia="Times New Roman" w:hAnsi="Times New Roman" w:cs="Times New Roman"/>
          <w:color w:val="000000"/>
        </w:rPr>
        <w:t xml:space="preserve">J. </w:t>
      </w:r>
      <w:proofErr w:type="spellStart"/>
      <w:r w:rsidRPr="007C436F">
        <w:rPr>
          <w:rFonts w:ascii="Times New Roman" w:eastAsia="Times New Roman" w:hAnsi="Times New Roman" w:cs="Times New Roman"/>
          <w:color w:val="000000"/>
        </w:rPr>
        <w:t>Kavanaugh</w:t>
      </w:r>
      <w:proofErr w:type="spellEnd"/>
    </w:p>
    <w:p w14:paraId="7164DD5D" w14:textId="632FDB62" w:rsidR="00C51A91" w:rsidRPr="009B237F" w:rsidRDefault="00C51A91" w:rsidP="004D1D89">
      <w:pPr>
        <w:numPr>
          <w:ilvl w:val="2"/>
          <w:numId w:val="31"/>
        </w:numPr>
        <w:jc w:val="both"/>
        <w:textAlignment w:val="baseline"/>
        <w:rPr>
          <w:rFonts w:ascii="Times New Roman" w:eastAsia="Times New Roman" w:hAnsi="Times New Roman" w:cs="Times New Roman"/>
          <w:color w:val="212121"/>
        </w:rPr>
      </w:pPr>
      <w:r w:rsidRPr="007C436F">
        <w:rPr>
          <w:rFonts w:ascii="Times New Roman" w:eastAsia="Times New Roman" w:hAnsi="Times New Roman" w:cs="Times New Roman"/>
          <w:color w:val="000000"/>
        </w:rPr>
        <w:t xml:space="preserve">“Keynote Address: Two Challenges for the Judge as Umpire: Statutory Ambiguity and Constitutional Exceptions, 92 </w:t>
      </w:r>
      <w:r w:rsidRPr="007C436F">
        <w:rPr>
          <w:rFonts w:ascii="Times New Roman" w:eastAsia="Times New Roman" w:hAnsi="Times New Roman" w:cs="Times New Roman"/>
          <w:smallCaps/>
          <w:color w:val="000000"/>
        </w:rPr>
        <w:t>Notre Dame L. Rev</w:t>
      </w:r>
      <w:r w:rsidRPr="007C436F">
        <w:rPr>
          <w:rFonts w:ascii="Times New Roman" w:eastAsia="Times New Roman" w:hAnsi="Times New Roman" w:cs="Times New Roman"/>
          <w:color w:val="000000"/>
        </w:rPr>
        <w:t xml:space="preserve"> 1907</w:t>
      </w:r>
      <w:r w:rsidR="004D1D89" w:rsidRPr="007C436F">
        <w:rPr>
          <w:rFonts w:ascii="Times New Roman" w:eastAsia="Times New Roman" w:hAnsi="Times New Roman" w:cs="Times New Roman"/>
          <w:color w:val="000000"/>
        </w:rPr>
        <w:t xml:space="preserve">, </w:t>
      </w:r>
      <w:r w:rsidR="004D1D89" w:rsidRPr="007C436F">
        <w:rPr>
          <w:rFonts w:ascii="Times New Roman" w:eastAsia="Times New Roman" w:hAnsi="Times New Roman" w:cs="Times New Roman"/>
          <w:color w:val="222222"/>
          <w:shd w:val="clear" w:color="auto" w:fill="FFFFFF"/>
        </w:rPr>
        <w:t>1910-11</w:t>
      </w:r>
      <w:r w:rsidR="004D1D89" w:rsidRPr="007C436F">
        <w:rPr>
          <w:rFonts w:ascii="Times New Roman" w:eastAsia="Times New Roman" w:hAnsi="Times New Roman" w:cs="Times New Roman"/>
          <w:color w:val="000000"/>
        </w:rPr>
        <w:t xml:space="preserve"> (2017) </w:t>
      </w:r>
      <w:r w:rsidRPr="007C436F">
        <w:rPr>
          <w:rFonts w:ascii="Times New Roman" w:eastAsia="Times New Roman" w:hAnsi="Times New Roman" w:cs="Times New Roman"/>
          <w:color w:val="000000"/>
        </w:rPr>
        <w:t>(</w:t>
      </w:r>
      <w:r w:rsidR="009760C7">
        <w:rPr>
          <w:rFonts w:ascii="Times New Roman" w:eastAsia="Times New Roman" w:hAnsi="Times New Roman" w:cs="Times New Roman"/>
          <w:color w:val="000000"/>
        </w:rPr>
        <w:t xml:space="preserve">available at </w:t>
      </w:r>
      <w:hyperlink r:id="rId7" w:history="1">
        <w:r w:rsidRPr="007C436F">
          <w:rPr>
            <w:rFonts w:ascii="Times New Roman" w:eastAsia="Times New Roman" w:hAnsi="Times New Roman" w:cs="Times New Roman"/>
            <w:color w:val="1155CC"/>
            <w:u w:val="single"/>
            <w:shd w:val="clear" w:color="auto" w:fill="FFFFFF"/>
          </w:rPr>
          <w:t>https://scholarship.law.nd.edu/cgi/viewcontent.cgi?</w:t>
        </w:r>
        <w:r w:rsidR="00D91A0D" w:rsidRPr="007C436F">
          <w:rPr>
            <w:rFonts w:ascii="Times New Roman" w:eastAsia="Times New Roman" w:hAnsi="Times New Roman" w:cs="Times New Roman"/>
            <w:color w:val="1155CC"/>
            <w:u w:val="single"/>
            <w:shd w:val="clear" w:color="auto" w:fill="FFFFFF"/>
          </w:rPr>
          <w:t xml:space="preserve"> </w:t>
        </w:r>
        <w:r w:rsidRPr="007C436F">
          <w:rPr>
            <w:rFonts w:ascii="Times New Roman" w:eastAsia="Times New Roman" w:hAnsi="Times New Roman" w:cs="Times New Roman"/>
            <w:color w:val="1155CC"/>
            <w:u w:val="single"/>
            <w:shd w:val="clear" w:color="auto" w:fill="FFFFFF"/>
          </w:rPr>
          <w:t>article=4733&amp;context=</w:t>
        </w:r>
        <w:proofErr w:type="spellStart"/>
        <w:r w:rsidRPr="007C436F">
          <w:rPr>
            <w:rFonts w:ascii="Times New Roman" w:eastAsia="Times New Roman" w:hAnsi="Times New Roman" w:cs="Times New Roman"/>
            <w:color w:val="1155CC"/>
            <w:u w:val="single"/>
            <w:shd w:val="clear" w:color="auto" w:fill="FFFFFF"/>
          </w:rPr>
          <w:t>ndlr</w:t>
        </w:r>
        <w:proofErr w:type="spellEnd"/>
      </w:hyperlink>
      <w:r w:rsidRPr="007C436F">
        <w:rPr>
          <w:rFonts w:ascii="Times New Roman" w:eastAsia="Times New Roman" w:hAnsi="Times New Roman" w:cs="Times New Roman"/>
          <w:color w:val="222222"/>
          <w:shd w:val="clear" w:color="auto" w:fill="FFFFFF"/>
        </w:rPr>
        <w:t>)</w:t>
      </w:r>
      <w:r w:rsidR="004D1D89" w:rsidRPr="007C436F">
        <w:rPr>
          <w:rFonts w:ascii="Times New Roman" w:eastAsia="Times New Roman" w:hAnsi="Times New Roman" w:cs="Times New Roman"/>
          <w:color w:val="212121"/>
        </w:rPr>
        <w:t xml:space="preserve"> (</w:t>
      </w:r>
      <w:r w:rsidRPr="007C436F">
        <w:rPr>
          <w:rFonts w:ascii="Times New Roman" w:eastAsia="Times New Roman" w:hAnsi="Times New Roman" w:cs="Times New Roman"/>
          <w:color w:val="222222"/>
          <w:shd w:val="clear" w:color="auto" w:fill="FFFFFF"/>
        </w:rPr>
        <w:t xml:space="preserve">“Here’s my biggest problem. Several substantive canons of statutory interpretation, such as constitutional avoidance, legislative history, and </w:t>
      </w:r>
      <w:r w:rsidRPr="007C436F">
        <w:rPr>
          <w:rFonts w:ascii="Times New Roman" w:eastAsia="Times New Roman" w:hAnsi="Times New Roman" w:cs="Times New Roman"/>
          <w:i/>
          <w:iCs/>
          <w:color w:val="222222"/>
          <w:shd w:val="clear" w:color="auto" w:fill="FFFFFF"/>
        </w:rPr>
        <w:t>Chevron</w:t>
      </w:r>
      <w:r w:rsidRPr="007C436F">
        <w:rPr>
          <w:rFonts w:ascii="Times New Roman" w:eastAsia="Times New Roman" w:hAnsi="Times New Roman" w:cs="Times New Roman"/>
          <w:color w:val="222222"/>
          <w:shd w:val="clear" w:color="auto" w:fill="FFFFFF"/>
        </w:rPr>
        <w:t>, depend on an initial determination of whether the text is clear or ambiguous. But how do courts know when a statute is clear or ambiguous? In other words, how much clarity is sufficient to call a statute clear and end the case? Quite simply, there is no good or predictable way for judges to do this. Judges go back and forth. One judge will say it is clear. Another judge will say, ‘No, it’s ambiguous.’ Neither judge can convince the other. Why not? The answer is</w:t>
      </w:r>
      <w:r w:rsidR="00D91A0D" w:rsidRPr="007C436F">
        <w:rPr>
          <w:rFonts w:ascii="Times New Roman" w:eastAsia="Times New Roman" w:hAnsi="Times New Roman" w:cs="Times New Roman"/>
          <w:color w:val="222222"/>
          <w:shd w:val="clear" w:color="auto" w:fill="FFFFFF"/>
        </w:rPr>
        <w:t xml:space="preserve"> that there is no right answer. . . . </w:t>
      </w:r>
      <w:r w:rsidRPr="007C436F">
        <w:rPr>
          <w:rFonts w:ascii="Times New Roman" w:eastAsia="Times New Roman" w:hAnsi="Times New Roman" w:cs="Times New Roman"/>
          <w:color w:val="222222"/>
          <w:shd w:val="clear" w:color="auto" w:fill="FFFFFF"/>
        </w:rPr>
        <w:t xml:space="preserve">[T]he </w:t>
      </w:r>
      <w:r w:rsidRPr="007C436F">
        <w:rPr>
          <w:rFonts w:ascii="Times New Roman" w:eastAsia="Times New Roman" w:hAnsi="Times New Roman" w:cs="Times New Roman"/>
          <w:i/>
          <w:iCs/>
          <w:color w:val="222222"/>
          <w:shd w:val="clear" w:color="auto" w:fill="FFFFFF"/>
        </w:rPr>
        <w:t>Chevron</w:t>
      </w:r>
      <w:r w:rsidRPr="007C436F">
        <w:rPr>
          <w:rFonts w:ascii="Times New Roman" w:eastAsia="Times New Roman" w:hAnsi="Times New Roman" w:cs="Times New Roman"/>
          <w:color w:val="222222"/>
          <w:shd w:val="clear" w:color="auto" w:fill="FFFFFF"/>
        </w:rPr>
        <w:t xml:space="preserve"> doctrine encourages agency aggressiveness on a large scale. Under the guise of ambiguity, agencies can stretch the meaning of statutes enacted by Congress to accommodate their preferred policy outcomes.</w:t>
      </w:r>
      <w:r w:rsidR="00D91A0D" w:rsidRPr="007C436F">
        <w:rPr>
          <w:rFonts w:ascii="Times New Roman" w:eastAsia="Times New Roman" w:hAnsi="Times New Roman" w:cs="Times New Roman"/>
          <w:color w:val="222222"/>
          <w:shd w:val="clear" w:color="auto" w:fill="FFFFFF"/>
        </w:rPr>
        <w:t>”</w:t>
      </w:r>
      <w:r w:rsidR="004D1D89" w:rsidRPr="007C436F">
        <w:rPr>
          <w:rFonts w:ascii="Times New Roman" w:eastAsia="Times New Roman" w:hAnsi="Times New Roman" w:cs="Times New Roman"/>
          <w:color w:val="222222"/>
          <w:shd w:val="clear" w:color="auto" w:fill="FFFFFF"/>
        </w:rPr>
        <w:t>).</w:t>
      </w:r>
    </w:p>
    <w:p w14:paraId="3E002208" w14:textId="25E213BF" w:rsidR="009659D9" w:rsidRDefault="009659D9" w:rsidP="009B237F">
      <w:pPr>
        <w:ind w:left="1800"/>
        <w:jc w:val="both"/>
        <w:textAlignment w:val="baseline"/>
        <w:rPr>
          <w:rFonts w:ascii="Times New Roman" w:eastAsia="Times New Roman" w:hAnsi="Times New Roman" w:cs="Times New Roman"/>
          <w:color w:val="212121"/>
        </w:rPr>
      </w:pPr>
    </w:p>
    <w:p w14:paraId="6D1C4F84" w14:textId="6F820B8D" w:rsidR="00A24EBD" w:rsidRDefault="00A24EBD" w:rsidP="009B237F">
      <w:pPr>
        <w:ind w:left="1800"/>
        <w:jc w:val="both"/>
        <w:textAlignment w:val="baseline"/>
        <w:rPr>
          <w:rFonts w:ascii="Times New Roman" w:eastAsia="Times New Roman" w:hAnsi="Times New Roman" w:cs="Times New Roman"/>
          <w:color w:val="212121"/>
        </w:rPr>
      </w:pPr>
    </w:p>
    <w:p w14:paraId="6B021F73" w14:textId="77777777" w:rsidR="00A24EBD" w:rsidRPr="007C436F" w:rsidRDefault="00A24EBD" w:rsidP="009B237F">
      <w:pPr>
        <w:ind w:left="1800"/>
        <w:jc w:val="both"/>
        <w:textAlignment w:val="baseline"/>
        <w:rPr>
          <w:rFonts w:ascii="Times New Roman" w:eastAsia="Times New Roman" w:hAnsi="Times New Roman" w:cs="Times New Roman"/>
          <w:color w:val="212121"/>
        </w:rPr>
      </w:pPr>
    </w:p>
    <w:p w14:paraId="5617F059" w14:textId="21C73DE2" w:rsidR="0028791A" w:rsidRPr="007C436F" w:rsidRDefault="0028791A" w:rsidP="00495E6A">
      <w:pPr>
        <w:numPr>
          <w:ilvl w:val="1"/>
          <w:numId w:val="31"/>
        </w:numPr>
        <w:jc w:val="both"/>
        <w:textAlignment w:val="baseline"/>
        <w:rPr>
          <w:rFonts w:ascii="Times New Roman" w:eastAsia="Times New Roman" w:hAnsi="Times New Roman" w:cs="Times New Roman"/>
          <w:color w:val="212121"/>
        </w:rPr>
      </w:pPr>
      <w:r w:rsidRPr="007C436F">
        <w:rPr>
          <w:rFonts w:ascii="Times New Roman" w:eastAsia="Times New Roman" w:hAnsi="Times New Roman" w:cs="Times New Roman"/>
          <w:color w:val="000000"/>
        </w:rPr>
        <w:lastRenderedPageBreak/>
        <w:t>J. Scalia</w:t>
      </w:r>
    </w:p>
    <w:p w14:paraId="6F6C6BC8" w14:textId="23B5F1D4" w:rsidR="0028791A" w:rsidRPr="007C436F" w:rsidRDefault="0028791A" w:rsidP="00495E6A">
      <w:pPr>
        <w:numPr>
          <w:ilvl w:val="2"/>
          <w:numId w:val="31"/>
        </w:numPr>
        <w:jc w:val="both"/>
        <w:textAlignment w:val="baseline"/>
        <w:rPr>
          <w:rFonts w:ascii="Times New Roman" w:eastAsia="Times New Roman" w:hAnsi="Times New Roman" w:cs="Times New Roman"/>
          <w:color w:val="212121"/>
        </w:rPr>
      </w:pPr>
      <w:r w:rsidRPr="007C436F">
        <w:rPr>
          <w:rFonts w:ascii="Times New Roman" w:eastAsia="Times New Roman" w:hAnsi="Times New Roman" w:cs="Times New Roman"/>
          <w:i/>
          <w:iCs/>
          <w:color w:val="000000"/>
        </w:rPr>
        <w:t>Perez</w:t>
      </w:r>
      <w:r w:rsidR="009760C7">
        <w:rPr>
          <w:rFonts w:ascii="Times New Roman" w:eastAsia="Times New Roman" w:hAnsi="Times New Roman" w:cs="Times New Roman"/>
          <w:iCs/>
          <w:color w:val="000000"/>
        </w:rPr>
        <w:t>,</w:t>
      </w:r>
      <w:r w:rsidRPr="007C436F">
        <w:rPr>
          <w:rFonts w:ascii="Times New Roman" w:eastAsia="Times New Roman" w:hAnsi="Times New Roman" w:cs="Times New Roman"/>
          <w:i/>
          <w:iCs/>
          <w:color w:val="000000"/>
        </w:rPr>
        <w:t xml:space="preserve"> </w:t>
      </w:r>
      <w:r w:rsidRPr="007C436F">
        <w:rPr>
          <w:rFonts w:ascii="Times New Roman" w:eastAsia="Times New Roman" w:hAnsi="Times New Roman" w:cs="Times New Roman"/>
          <w:color w:val="000000"/>
        </w:rPr>
        <w:t xml:space="preserve">135 S. Ct. </w:t>
      </w:r>
      <w:r w:rsidR="0017199F" w:rsidRPr="007C436F">
        <w:rPr>
          <w:rFonts w:ascii="Times New Roman" w:eastAsia="Times New Roman" w:hAnsi="Times New Roman" w:cs="Times New Roman"/>
          <w:color w:val="000000"/>
        </w:rPr>
        <w:t>at</w:t>
      </w:r>
      <w:r w:rsidR="00B6784C" w:rsidRPr="007C436F">
        <w:rPr>
          <w:rFonts w:ascii="Times New Roman" w:eastAsia="Times New Roman" w:hAnsi="Times New Roman" w:cs="Times New Roman"/>
          <w:color w:val="000000"/>
        </w:rPr>
        <w:t xml:space="preserve"> 1213</w:t>
      </w:r>
      <w:r w:rsidRPr="007C436F">
        <w:rPr>
          <w:rFonts w:ascii="Times New Roman" w:eastAsia="Times New Roman" w:hAnsi="Times New Roman" w:cs="Times New Roman"/>
          <w:color w:val="000000"/>
        </w:rPr>
        <w:t xml:space="preserve"> (Scalia, J., concurring) (“I would therefore restore the balance originally struck by the APA with respect to an agency’s interpretation of its own regulations, not by rewriting the Act in order to make up for </w:t>
      </w:r>
      <w:r w:rsidRPr="007C436F">
        <w:rPr>
          <w:rFonts w:ascii="Times New Roman" w:eastAsia="Times New Roman" w:hAnsi="Times New Roman" w:cs="Times New Roman"/>
          <w:i/>
          <w:color w:val="000000"/>
        </w:rPr>
        <w:t>Auer</w:t>
      </w:r>
      <w:r w:rsidRPr="007C436F">
        <w:rPr>
          <w:rFonts w:ascii="Times New Roman" w:eastAsia="Times New Roman" w:hAnsi="Times New Roman" w:cs="Times New Roman"/>
          <w:color w:val="000000"/>
        </w:rPr>
        <w:t xml:space="preserve">, but by abandoning </w:t>
      </w:r>
      <w:r w:rsidRPr="007C436F">
        <w:rPr>
          <w:rFonts w:ascii="Times New Roman" w:eastAsia="Times New Roman" w:hAnsi="Times New Roman" w:cs="Times New Roman"/>
          <w:i/>
          <w:color w:val="000000"/>
        </w:rPr>
        <w:t>Auer</w:t>
      </w:r>
      <w:r w:rsidRPr="007C436F">
        <w:rPr>
          <w:rFonts w:ascii="Times New Roman" w:eastAsia="Times New Roman" w:hAnsi="Times New Roman" w:cs="Times New Roman"/>
          <w:color w:val="000000"/>
        </w:rPr>
        <w:t xml:space="preserve"> and applying the Act as written. The agency is free to interpret its own regulations</w:t>
      </w:r>
      <w:r w:rsidR="004D1D89" w:rsidRPr="007C436F">
        <w:rPr>
          <w:rFonts w:ascii="Times New Roman" w:eastAsia="Times New Roman" w:hAnsi="Times New Roman" w:cs="Times New Roman"/>
          <w:color w:val="000000"/>
        </w:rPr>
        <w:t xml:space="preserve"> . . . </w:t>
      </w:r>
      <w:r w:rsidRPr="007C436F">
        <w:rPr>
          <w:rFonts w:ascii="Times New Roman" w:eastAsia="Times New Roman" w:hAnsi="Times New Roman" w:cs="Times New Roman"/>
          <w:color w:val="000000"/>
        </w:rPr>
        <w:t>; but courts will decide—with no deference to the agency—whether that interpretation is correct.”).</w:t>
      </w:r>
    </w:p>
    <w:p w14:paraId="745BB1A4" w14:textId="201754EF" w:rsidR="0060565D" w:rsidRPr="009B237F" w:rsidRDefault="0028791A">
      <w:pPr>
        <w:numPr>
          <w:ilvl w:val="2"/>
          <w:numId w:val="31"/>
        </w:numPr>
        <w:jc w:val="both"/>
        <w:textAlignment w:val="baseline"/>
        <w:rPr>
          <w:rFonts w:ascii="Times New Roman" w:eastAsia="Times New Roman" w:hAnsi="Times New Roman" w:cs="Times New Roman"/>
          <w:color w:val="212121"/>
        </w:rPr>
      </w:pPr>
      <w:r w:rsidRPr="007C436F">
        <w:rPr>
          <w:rFonts w:ascii="Times New Roman" w:eastAsia="Times New Roman" w:hAnsi="Times New Roman" w:cs="Times New Roman"/>
          <w:i/>
          <w:iCs/>
          <w:color w:val="000000"/>
        </w:rPr>
        <w:t>Decker</w:t>
      </w:r>
      <w:r w:rsidRPr="007C436F">
        <w:rPr>
          <w:rFonts w:ascii="Times New Roman" w:eastAsia="Times New Roman" w:hAnsi="Times New Roman" w:cs="Times New Roman"/>
          <w:color w:val="000000"/>
        </w:rPr>
        <w:t xml:space="preserve">, 568 U.S. </w:t>
      </w:r>
      <w:r w:rsidR="0017199F" w:rsidRPr="007C436F">
        <w:rPr>
          <w:rFonts w:ascii="Times New Roman" w:eastAsia="Times New Roman" w:hAnsi="Times New Roman" w:cs="Times New Roman"/>
          <w:color w:val="000000"/>
        </w:rPr>
        <w:t xml:space="preserve">at 621 </w:t>
      </w:r>
      <w:r w:rsidRPr="007C436F">
        <w:rPr>
          <w:rFonts w:ascii="Times New Roman" w:eastAsia="Times New Roman" w:hAnsi="Times New Roman" w:cs="Times New Roman"/>
          <w:color w:val="222222"/>
          <w:shd w:val="clear" w:color="auto" w:fill="FFFFFF"/>
        </w:rPr>
        <w:t>(Scalia, J., dissenting) (“</w:t>
      </w:r>
      <w:r w:rsidRPr="007C436F">
        <w:rPr>
          <w:rFonts w:ascii="Times New Roman" w:eastAsia="Times New Roman" w:hAnsi="Times New Roman" w:cs="Times New Roman"/>
          <w:i/>
          <w:iCs/>
          <w:color w:val="222222"/>
          <w:shd w:val="clear" w:color="auto" w:fill="FFFFFF"/>
        </w:rPr>
        <w:t>Auer</w:t>
      </w:r>
      <w:r w:rsidRPr="007C436F">
        <w:rPr>
          <w:rFonts w:ascii="Times New Roman" w:eastAsia="Times New Roman" w:hAnsi="Times New Roman" w:cs="Times New Roman"/>
          <w:color w:val="222222"/>
          <w:shd w:val="clear" w:color="auto" w:fill="FFFFFF"/>
        </w:rPr>
        <w:t xml:space="preserve"> deference has the same beneficial pragmatic effect as </w:t>
      </w:r>
      <w:r w:rsidRPr="007C436F">
        <w:rPr>
          <w:rFonts w:ascii="Times New Roman" w:eastAsia="Times New Roman" w:hAnsi="Times New Roman" w:cs="Times New Roman"/>
          <w:i/>
          <w:iCs/>
          <w:color w:val="222222"/>
          <w:shd w:val="clear" w:color="auto" w:fill="FFFFFF"/>
        </w:rPr>
        <w:t>Chevron</w:t>
      </w:r>
      <w:r w:rsidRPr="007C436F">
        <w:rPr>
          <w:rFonts w:ascii="Times New Roman" w:eastAsia="Times New Roman" w:hAnsi="Times New Roman" w:cs="Times New Roman"/>
          <w:color w:val="222222"/>
          <w:shd w:val="clear" w:color="auto" w:fill="FFFFFF"/>
        </w:rPr>
        <w:t xml:space="preserve"> deference: The country need not endure the uncertainty produced by divergent views of numerous district courts and courts of appeals as to what is the fairest reading of the regulation, until a definitive answer is finally provided, years later, by this Court. The agency</w:t>
      </w:r>
      <w:r w:rsidR="00641C59">
        <w:rPr>
          <w:rFonts w:ascii="Times New Roman" w:eastAsia="Times New Roman" w:hAnsi="Times New Roman" w:cs="Times New Roman"/>
          <w:color w:val="222222"/>
          <w:shd w:val="clear" w:color="auto" w:fill="FFFFFF"/>
        </w:rPr>
        <w:t>’</w:t>
      </w:r>
      <w:r w:rsidRPr="007C436F">
        <w:rPr>
          <w:rFonts w:ascii="Times New Roman" w:eastAsia="Times New Roman" w:hAnsi="Times New Roman" w:cs="Times New Roman"/>
          <w:color w:val="222222"/>
          <w:shd w:val="clear" w:color="auto" w:fill="FFFFFF"/>
        </w:rPr>
        <w:t xml:space="preserve">s view can be relied upon, unless it is, so to speak, beyond the pale. . . . </w:t>
      </w:r>
      <w:r w:rsidR="004D1D89" w:rsidRPr="007C436F">
        <w:rPr>
          <w:rFonts w:ascii="Times New Roman" w:eastAsia="Times New Roman" w:hAnsi="Times New Roman" w:cs="Times New Roman"/>
          <w:color w:val="222222"/>
          <w:shd w:val="clear" w:color="auto" w:fill="FFFFFF"/>
        </w:rPr>
        <w:t>[H]</w:t>
      </w:r>
      <w:proofErr w:type="spellStart"/>
      <w:r w:rsidRPr="007C436F">
        <w:rPr>
          <w:rFonts w:ascii="Times New Roman" w:eastAsia="Times New Roman" w:hAnsi="Times New Roman" w:cs="Times New Roman"/>
          <w:color w:val="222222"/>
          <w:shd w:val="clear" w:color="auto" w:fill="FFFFFF"/>
        </w:rPr>
        <w:t>owever</w:t>
      </w:r>
      <w:proofErr w:type="spellEnd"/>
      <w:r w:rsidRPr="007C436F">
        <w:rPr>
          <w:rFonts w:ascii="Times New Roman" w:eastAsia="Times New Roman" w:hAnsi="Times New Roman" w:cs="Times New Roman"/>
          <w:color w:val="222222"/>
          <w:shd w:val="clear" w:color="auto" w:fill="FFFFFF"/>
        </w:rPr>
        <w:t xml:space="preserve"> great may be the efficiency gains derived from </w:t>
      </w:r>
      <w:r w:rsidRPr="007C436F">
        <w:rPr>
          <w:rFonts w:ascii="Times New Roman" w:eastAsia="Times New Roman" w:hAnsi="Times New Roman" w:cs="Times New Roman"/>
          <w:i/>
          <w:iCs/>
          <w:color w:val="222222"/>
          <w:shd w:val="clear" w:color="auto" w:fill="FFFFFF"/>
        </w:rPr>
        <w:t>Auer</w:t>
      </w:r>
      <w:r w:rsidRPr="007C436F">
        <w:rPr>
          <w:rFonts w:ascii="Times New Roman" w:eastAsia="Times New Roman" w:hAnsi="Times New Roman" w:cs="Times New Roman"/>
          <w:color w:val="222222"/>
          <w:shd w:val="clear" w:color="auto" w:fill="FFFFFF"/>
        </w:rPr>
        <w:t xml:space="preserve"> deference, beneficial effect cannot justify a rule that not only has no principled basis but contravenes one of the great rules of separation of powers: He who writes a law must not adjudge its violation.”)</w:t>
      </w:r>
      <w:r w:rsidR="0060565D" w:rsidRPr="007C436F">
        <w:rPr>
          <w:rFonts w:ascii="Times New Roman" w:eastAsia="Times New Roman" w:hAnsi="Times New Roman" w:cs="Times New Roman"/>
          <w:color w:val="222222"/>
          <w:shd w:val="clear" w:color="auto" w:fill="FFFFFF"/>
        </w:rPr>
        <w:t xml:space="preserve">; </w:t>
      </w:r>
      <w:r w:rsidR="0060565D" w:rsidRPr="007C436F">
        <w:rPr>
          <w:rFonts w:ascii="Times New Roman" w:eastAsia="Times New Roman" w:hAnsi="Times New Roman" w:cs="Times New Roman"/>
          <w:i/>
          <w:color w:val="222222"/>
          <w:shd w:val="clear" w:color="auto" w:fill="FFFFFF"/>
        </w:rPr>
        <w:t>see also</w:t>
      </w:r>
      <w:r w:rsidR="0060565D" w:rsidRPr="007C436F">
        <w:rPr>
          <w:rFonts w:ascii="Times New Roman" w:eastAsia="Times New Roman" w:hAnsi="Times New Roman" w:cs="Times New Roman"/>
          <w:color w:val="222222"/>
          <w:shd w:val="clear" w:color="auto" w:fill="FFFFFF"/>
        </w:rPr>
        <w:t xml:space="preserve"> </w:t>
      </w:r>
      <w:r w:rsidRPr="007C436F">
        <w:rPr>
          <w:rFonts w:ascii="Times New Roman" w:eastAsia="Times New Roman" w:hAnsi="Times New Roman" w:cs="Times New Roman"/>
          <w:i/>
          <w:iCs/>
          <w:color w:val="000000"/>
        </w:rPr>
        <w:t>Talk Am., Inc. v. Mich. Bell Telephone Co.</w:t>
      </w:r>
      <w:r w:rsidRPr="007C436F">
        <w:rPr>
          <w:rFonts w:ascii="Times New Roman" w:eastAsia="Times New Roman" w:hAnsi="Times New Roman" w:cs="Times New Roman"/>
          <w:color w:val="000000"/>
        </w:rPr>
        <w:t xml:space="preserve">, 564 </w:t>
      </w:r>
      <w:hyperlink r:id="rId8" w:history="1">
        <w:r w:rsidRPr="007C436F">
          <w:rPr>
            <w:rFonts w:ascii="Times New Roman" w:eastAsia="Times New Roman" w:hAnsi="Times New Roman" w:cs="Times New Roman"/>
            <w:color w:val="000000"/>
          </w:rPr>
          <w:t>U.S.</w:t>
        </w:r>
      </w:hyperlink>
      <w:r w:rsidRPr="007C436F">
        <w:rPr>
          <w:rFonts w:ascii="Times New Roman" w:eastAsia="Times New Roman" w:hAnsi="Times New Roman" w:cs="Times New Roman"/>
          <w:color w:val="000000"/>
        </w:rPr>
        <w:t xml:space="preserve"> 50 (2011) (Scalia, J., concurring)</w:t>
      </w:r>
      <w:r w:rsidR="0060565D" w:rsidRPr="007C436F" w:rsidDel="0060565D">
        <w:rPr>
          <w:rFonts w:ascii="Times New Roman" w:eastAsia="Times New Roman" w:hAnsi="Times New Roman" w:cs="Times New Roman"/>
          <w:color w:val="000000"/>
        </w:rPr>
        <w:t xml:space="preserve"> </w:t>
      </w:r>
      <w:r w:rsidR="00B6784C" w:rsidRPr="007C436F">
        <w:rPr>
          <w:rFonts w:ascii="Times New Roman" w:eastAsia="Times New Roman" w:hAnsi="Times New Roman" w:cs="Times New Roman"/>
          <w:color w:val="000000"/>
        </w:rPr>
        <w:t>(</w:t>
      </w:r>
      <w:r w:rsidR="0017199F" w:rsidRPr="007C436F">
        <w:rPr>
          <w:rFonts w:ascii="Times New Roman" w:eastAsia="Times New Roman" w:hAnsi="Times New Roman" w:cs="Times New Roman"/>
          <w:color w:val="000000"/>
        </w:rPr>
        <w:t>similar</w:t>
      </w:r>
      <w:r w:rsidR="00B6784C" w:rsidRPr="007C436F">
        <w:rPr>
          <w:rFonts w:ascii="Times New Roman" w:eastAsia="Times New Roman" w:hAnsi="Times New Roman" w:cs="Times New Roman"/>
          <w:color w:val="000000"/>
        </w:rPr>
        <w:t>)</w:t>
      </w:r>
      <w:r w:rsidR="0017199F" w:rsidRPr="007C436F">
        <w:rPr>
          <w:rFonts w:ascii="Times New Roman" w:eastAsia="Times New Roman" w:hAnsi="Times New Roman" w:cs="Times New Roman"/>
          <w:color w:val="000000"/>
        </w:rPr>
        <w:t>.</w:t>
      </w:r>
    </w:p>
    <w:p w14:paraId="6C476D0C" w14:textId="77777777" w:rsidR="009659D9" w:rsidRPr="007C436F" w:rsidRDefault="009659D9" w:rsidP="009B237F">
      <w:pPr>
        <w:ind w:left="1800"/>
        <w:jc w:val="both"/>
        <w:textAlignment w:val="baseline"/>
        <w:rPr>
          <w:rFonts w:ascii="Times New Roman" w:eastAsia="Times New Roman" w:hAnsi="Times New Roman" w:cs="Times New Roman"/>
          <w:color w:val="212121"/>
        </w:rPr>
      </w:pPr>
    </w:p>
    <w:p w14:paraId="01E8EBC3" w14:textId="1F66BC2E" w:rsidR="00C51A91" w:rsidRPr="007C436F" w:rsidRDefault="0060565D">
      <w:pPr>
        <w:numPr>
          <w:ilvl w:val="1"/>
          <w:numId w:val="31"/>
        </w:numPr>
        <w:jc w:val="both"/>
        <w:textAlignment w:val="baseline"/>
        <w:rPr>
          <w:rFonts w:ascii="Times New Roman" w:eastAsia="Times New Roman" w:hAnsi="Times New Roman" w:cs="Times New Roman"/>
          <w:color w:val="212121"/>
        </w:rPr>
      </w:pPr>
      <w:r w:rsidRPr="007C436F">
        <w:rPr>
          <w:rFonts w:ascii="Times New Roman" w:eastAsia="Times New Roman" w:hAnsi="Times New Roman" w:cs="Times New Roman"/>
          <w:color w:val="000000"/>
        </w:rPr>
        <w:t>J. Kennedy</w:t>
      </w:r>
    </w:p>
    <w:p w14:paraId="5FA956B4" w14:textId="434DFB6A" w:rsidR="00C51A91" w:rsidRPr="007C436F" w:rsidRDefault="00C51A91" w:rsidP="00495E6A">
      <w:pPr>
        <w:numPr>
          <w:ilvl w:val="2"/>
          <w:numId w:val="31"/>
        </w:numPr>
        <w:jc w:val="both"/>
        <w:textAlignment w:val="baseline"/>
        <w:rPr>
          <w:rFonts w:ascii="Times New Roman" w:eastAsia="Times New Roman" w:hAnsi="Times New Roman" w:cs="Times New Roman"/>
          <w:color w:val="212121"/>
        </w:rPr>
      </w:pPr>
      <w:r w:rsidRPr="007C436F">
        <w:rPr>
          <w:rFonts w:ascii="Times New Roman" w:eastAsia="Times New Roman" w:hAnsi="Times New Roman" w:cs="Times New Roman"/>
          <w:i/>
          <w:iCs/>
          <w:color w:val="222222"/>
          <w:shd w:val="clear" w:color="auto" w:fill="FFFFFF"/>
        </w:rPr>
        <w:t>Pereira v. Sessions</w:t>
      </w:r>
      <w:r w:rsidRPr="007C436F">
        <w:rPr>
          <w:rFonts w:ascii="Times New Roman" w:eastAsia="Times New Roman" w:hAnsi="Times New Roman" w:cs="Times New Roman"/>
          <w:color w:val="222222"/>
          <w:shd w:val="clear" w:color="auto" w:fill="FFFFFF"/>
        </w:rPr>
        <w:t xml:space="preserve">, 138 S. Ct. 2105, 2121 (2018) (Kennedy, J., concurring) (“Given the concerns raised by some Members of this Court, it seems necessary and appropriate to reconsider, in an appropriate case, the premises that underlie </w:t>
      </w:r>
      <w:r w:rsidRPr="007C436F">
        <w:rPr>
          <w:rFonts w:ascii="Times New Roman" w:eastAsia="Times New Roman" w:hAnsi="Times New Roman" w:cs="Times New Roman"/>
          <w:i/>
          <w:color w:val="222222"/>
          <w:shd w:val="clear" w:color="auto" w:fill="FFFFFF"/>
        </w:rPr>
        <w:t>Chevron</w:t>
      </w:r>
      <w:r w:rsidRPr="007C436F">
        <w:rPr>
          <w:rFonts w:ascii="Times New Roman" w:eastAsia="Times New Roman" w:hAnsi="Times New Roman" w:cs="Times New Roman"/>
          <w:color w:val="222222"/>
          <w:shd w:val="clear" w:color="auto" w:fill="FFFFFF"/>
        </w:rPr>
        <w:t xml:space="preserve"> and how courts have implemented that decision.”) (</w:t>
      </w:r>
      <w:proofErr w:type="gramStart"/>
      <w:r w:rsidRPr="007C436F">
        <w:rPr>
          <w:rFonts w:ascii="Times New Roman" w:eastAsia="Times New Roman" w:hAnsi="Times New Roman" w:cs="Times New Roman"/>
          <w:color w:val="222222"/>
          <w:shd w:val="clear" w:color="auto" w:fill="FFFFFF"/>
        </w:rPr>
        <w:t>internal</w:t>
      </w:r>
      <w:proofErr w:type="gramEnd"/>
      <w:r w:rsidRPr="007C436F">
        <w:rPr>
          <w:rFonts w:ascii="Times New Roman" w:eastAsia="Times New Roman" w:hAnsi="Times New Roman" w:cs="Times New Roman"/>
          <w:color w:val="222222"/>
          <w:shd w:val="clear" w:color="auto" w:fill="FFFFFF"/>
        </w:rPr>
        <w:t xml:space="preserve"> citations omitted).</w:t>
      </w:r>
    </w:p>
    <w:p w14:paraId="0E89A9B7" w14:textId="77777777" w:rsidR="001B70CB" w:rsidRPr="007C436F" w:rsidRDefault="001B70CB" w:rsidP="004D1D89">
      <w:pPr>
        <w:jc w:val="both"/>
        <w:textAlignment w:val="baseline"/>
        <w:rPr>
          <w:rFonts w:ascii="Times New Roman" w:eastAsia="Times New Roman" w:hAnsi="Times New Roman" w:cs="Times New Roman"/>
          <w:color w:val="212121"/>
        </w:rPr>
      </w:pPr>
    </w:p>
    <w:p w14:paraId="4FD8134D" w14:textId="4A214CE8" w:rsidR="0027628C" w:rsidRPr="009B237F" w:rsidRDefault="0027628C" w:rsidP="00495E6A">
      <w:pPr>
        <w:numPr>
          <w:ilvl w:val="0"/>
          <w:numId w:val="31"/>
        </w:numPr>
        <w:jc w:val="both"/>
        <w:textAlignment w:val="baseline"/>
        <w:rPr>
          <w:rFonts w:ascii="Times New Roman" w:eastAsia="Times New Roman" w:hAnsi="Times New Roman" w:cs="Times New Roman"/>
          <w:color w:val="212121"/>
        </w:rPr>
      </w:pPr>
      <w:r w:rsidRPr="009B237F">
        <w:rPr>
          <w:rFonts w:ascii="Times New Roman" w:eastAsia="Times New Roman" w:hAnsi="Times New Roman" w:cs="Times New Roman"/>
          <w:color w:val="000000"/>
          <w:sz w:val="28"/>
        </w:rPr>
        <w:t xml:space="preserve">Perspectives on </w:t>
      </w:r>
      <w:r w:rsidRPr="009B237F">
        <w:rPr>
          <w:rFonts w:ascii="Times New Roman" w:eastAsia="Times New Roman" w:hAnsi="Times New Roman" w:cs="Times New Roman"/>
          <w:i/>
          <w:color w:val="000000"/>
          <w:sz w:val="28"/>
        </w:rPr>
        <w:t>Chevron</w:t>
      </w:r>
    </w:p>
    <w:p w14:paraId="7A9038EB" w14:textId="77777777" w:rsidR="001B70CB" w:rsidRPr="007C436F" w:rsidRDefault="001B70CB" w:rsidP="009B237F">
      <w:pPr>
        <w:ind w:left="360"/>
        <w:jc w:val="both"/>
        <w:textAlignment w:val="baseline"/>
        <w:rPr>
          <w:rFonts w:ascii="Times New Roman" w:eastAsia="Times New Roman" w:hAnsi="Times New Roman" w:cs="Times New Roman"/>
          <w:color w:val="212121"/>
        </w:rPr>
      </w:pPr>
    </w:p>
    <w:p w14:paraId="2F693F59" w14:textId="220F799B" w:rsidR="007E7389" w:rsidRPr="009B237F" w:rsidRDefault="007E7389" w:rsidP="009F54EA">
      <w:pPr>
        <w:numPr>
          <w:ilvl w:val="1"/>
          <w:numId w:val="31"/>
        </w:numPr>
        <w:jc w:val="both"/>
        <w:textAlignment w:val="baseline"/>
        <w:rPr>
          <w:rFonts w:ascii="Times New Roman" w:eastAsia="Times New Roman" w:hAnsi="Times New Roman" w:cs="Times New Roman"/>
          <w:color w:val="212121"/>
        </w:rPr>
      </w:pPr>
      <w:r w:rsidRPr="007C436F">
        <w:rPr>
          <w:rFonts w:ascii="Times New Roman" w:eastAsia="Times New Roman" w:hAnsi="Times New Roman" w:cs="Times New Roman"/>
          <w:color w:val="000000"/>
        </w:rPr>
        <w:t xml:space="preserve">Rationales </w:t>
      </w:r>
      <w:r w:rsidR="00D10AD1" w:rsidRPr="007C436F">
        <w:rPr>
          <w:rFonts w:ascii="Times New Roman" w:eastAsia="Times New Roman" w:hAnsi="Times New Roman" w:cs="Times New Roman"/>
          <w:color w:val="000000"/>
        </w:rPr>
        <w:t xml:space="preserve">Supporting </w:t>
      </w:r>
      <w:r w:rsidRPr="007C436F">
        <w:rPr>
          <w:rFonts w:ascii="Times New Roman" w:eastAsia="Times New Roman" w:hAnsi="Times New Roman" w:cs="Times New Roman"/>
          <w:i/>
          <w:color w:val="000000"/>
        </w:rPr>
        <w:t>Chevron</w:t>
      </w:r>
      <w:r w:rsidRPr="007C436F">
        <w:rPr>
          <w:rFonts w:ascii="Times New Roman" w:eastAsia="Times New Roman" w:hAnsi="Times New Roman" w:cs="Times New Roman"/>
          <w:color w:val="000000"/>
        </w:rPr>
        <w:t xml:space="preserve"> </w:t>
      </w:r>
      <w:r w:rsidR="009F54EA" w:rsidRPr="007C436F">
        <w:rPr>
          <w:rFonts w:ascii="Times New Roman" w:eastAsia="Times New Roman" w:hAnsi="Times New Roman" w:cs="Times New Roman"/>
          <w:color w:val="000000"/>
        </w:rPr>
        <w:t>Deference:</w:t>
      </w:r>
    </w:p>
    <w:p w14:paraId="46B90387" w14:textId="77777777" w:rsidR="009659D9" w:rsidRPr="007C436F" w:rsidRDefault="009659D9" w:rsidP="009B237F">
      <w:pPr>
        <w:ind w:left="1080"/>
        <w:jc w:val="both"/>
        <w:textAlignment w:val="baseline"/>
        <w:rPr>
          <w:rFonts w:ascii="Times New Roman" w:eastAsia="Times New Roman" w:hAnsi="Times New Roman" w:cs="Times New Roman"/>
          <w:color w:val="212121"/>
        </w:rPr>
      </w:pPr>
    </w:p>
    <w:p w14:paraId="73B01305" w14:textId="3A22278C" w:rsidR="009F54EA" w:rsidRPr="007C436F" w:rsidRDefault="007710BC" w:rsidP="009F54EA">
      <w:pPr>
        <w:numPr>
          <w:ilvl w:val="2"/>
          <w:numId w:val="31"/>
        </w:numPr>
        <w:jc w:val="both"/>
        <w:textAlignment w:val="baseline"/>
        <w:rPr>
          <w:rFonts w:ascii="Times New Roman" w:eastAsia="Times New Roman" w:hAnsi="Times New Roman" w:cs="Times New Roman"/>
          <w:color w:val="212121"/>
        </w:rPr>
      </w:pPr>
      <w:r w:rsidRPr="007C436F">
        <w:rPr>
          <w:rFonts w:ascii="Times New Roman" w:eastAsia="Times New Roman" w:hAnsi="Times New Roman" w:cs="Times New Roman"/>
          <w:color w:val="000000"/>
        </w:rPr>
        <w:t xml:space="preserve">Congress intends the courts to defer to agencies: where Congress has </w:t>
      </w:r>
      <w:r w:rsidR="009F54EA" w:rsidRPr="007C436F">
        <w:rPr>
          <w:rFonts w:ascii="Times New Roman" w:hAnsi="Times New Roman" w:cs="Times New Roman"/>
        </w:rPr>
        <w:t>“explicitly left a [statutory</w:t>
      </w:r>
      <w:r w:rsidRPr="007C436F">
        <w:rPr>
          <w:rFonts w:ascii="Times New Roman" w:hAnsi="Times New Roman" w:cs="Times New Roman"/>
        </w:rPr>
        <w:t xml:space="preserve">] gap for the agency to fill,” </w:t>
      </w:r>
      <w:r w:rsidR="009F54EA" w:rsidRPr="007C436F">
        <w:rPr>
          <w:rFonts w:ascii="Times New Roman" w:hAnsi="Times New Roman" w:cs="Times New Roman"/>
        </w:rPr>
        <w:t>and “[s]</w:t>
      </w:r>
      <w:proofErr w:type="spellStart"/>
      <w:r w:rsidR="009F54EA" w:rsidRPr="007C436F">
        <w:rPr>
          <w:rFonts w:ascii="Times New Roman" w:hAnsi="Times New Roman" w:cs="Times New Roman"/>
        </w:rPr>
        <w:t>ometimes</w:t>
      </w:r>
      <w:proofErr w:type="spellEnd"/>
      <w:r w:rsidR="009F54EA" w:rsidRPr="007C436F">
        <w:rPr>
          <w:rFonts w:ascii="Times New Roman" w:hAnsi="Times New Roman" w:cs="Times New Roman"/>
        </w:rPr>
        <w:t xml:space="preserve"> the legislative delegation to an agency on a particular</w:t>
      </w:r>
      <w:r w:rsidRPr="007C436F">
        <w:rPr>
          <w:rFonts w:ascii="Times New Roman" w:eastAsia="Times New Roman" w:hAnsi="Times New Roman" w:cs="Times New Roman"/>
          <w:color w:val="212121"/>
        </w:rPr>
        <w:t xml:space="preserve"> </w:t>
      </w:r>
      <w:r w:rsidR="009F54EA" w:rsidRPr="007C436F">
        <w:rPr>
          <w:rFonts w:ascii="Times New Roman" w:hAnsi="Times New Roman" w:cs="Times New Roman"/>
        </w:rPr>
        <w:t>question is i</w:t>
      </w:r>
      <w:r w:rsidRPr="007C436F">
        <w:rPr>
          <w:rFonts w:ascii="Times New Roman" w:hAnsi="Times New Roman" w:cs="Times New Roman"/>
        </w:rPr>
        <w:t>mplicit rather than explicit.”</w:t>
      </w:r>
      <w:r w:rsidR="009760C7">
        <w:rPr>
          <w:rFonts w:ascii="Times New Roman" w:hAnsi="Times New Roman" w:cs="Times New Roman"/>
        </w:rPr>
        <w:t xml:space="preserve"> </w:t>
      </w:r>
      <w:r w:rsidR="009760C7" w:rsidRPr="007C436F">
        <w:rPr>
          <w:rFonts w:ascii="Times New Roman" w:eastAsia="Times New Roman" w:hAnsi="Times New Roman" w:cs="Times New Roman"/>
          <w:i/>
          <w:color w:val="000000"/>
        </w:rPr>
        <w:t>Chevron</w:t>
      </w:r>
      <w:r w:rsidR="009760C7" w:rsidRPr="007C436F">
        <w:rPr>
          <w:rFonts w:ascii="Times New Roman" w:eastAsia="Times New Roman" w:hAnsi="Times New Roman" w:cs="Times New Roman"/>
          <w:color w:val="000000"/>
        </w:rPr>
        <w:t>, 467 U.S. at 843</w:t>
      </w:r>
      <w:r w:rsidR="009760C7">
        <w:rPr>
          <w:rFonts w:ascii="Times New Roman" w:eastAsia="Times New Roman" w:hAnsi="Times New Roman" w:cs="Times New Roman"/>
          <w:color w:val="000000"/>
        </w:rPr>
        <w:t>.</w:t>
      </w:r>
    </w:p>
    <w:p w14:paraId="44D690EA" w14:textId="73E9A4BB" w:rsidR="007710BC" w:rsidRPr="007C436F" w:rsidRDefault="007710BC" w:rsidP="009F54EA">
      <w:pPr>
        <w:numPr>
          <w:ilvl w:val="2"/>
          <w:numId w:val="31"/>
        </w:numPr>
        <w:jc w:val="both"/>
        <w:textAlignment w:val="baseline"/>
        <w:rPr>
          <w:rFonts w:ascii="Times New Roman" w:eastAsia="Times New Roman" w:hAnsi="Times New Roman" w:cs="Times New Roman"/>
          <w:color w:val="212121"/>
        </w:rPr>
      </w:pPr>
      <w:r w:rsidRPr="007C436F">
        <w:rPr>
          <w:rFonts w:ascii="Times New Roman" w:hAnsi="Times New Roman" w:cs="Times New Roman"/>
        </w:rPr>
        <w:t>When agencies issue interpretations of statutes, they are exercising delegated legislative power</w:t>
      </w:r>
      <w:r w:rsidR="009760C7">
        <w:rPr>
          <w:rFonts w:ascii="Times New Roman" w:hAnsi="Times New Roman" w:cs="Times New Roman"/>
        </w:rPr>
        <w:t xml:space="preserve">. </w:t>
      </w:r>
      <w:r w:rsidRPr="007C436F">
        <w:rPr>
          <w:rFonts w:ascii="Times New Roman" w:hAnsi="Times New Roman" w:cs="Times New Roman"/>
          <w:i/>
        </w:rPr>
        <w:t>Chevron</w:t>
      </w:r>
      <w:r w:rsidR="00CF0119" w:rsidRPr="007C436F">
        <w:rPr>
          <w:rFonts w:ascii="Times New Roman" w:hAnsi="Times New Roman" w:cs="Times New Roman"/>
        </w:rPr>
        <w:t>, 467 U.S. at 865</w:t>
      </w:r>
      <w:r w:rsidR="009760C7">
        <w:rPr>
          <w:rFonts w:ascii="Times New Roman" w:hAnsi="Times New Roman" w:cs="Times New Roman"/>
        </w:rPr>
        <w:t>.</w:t>
      </w:r>
    </w:p>
    <w:p w14:paraId="50047A18" w14:textId="16770834" w:rsidR="009760C7" w:rsidRDefault="007710BC" w:rsidP="009760C7">
      <w:pPr>
        <w:numPr>
          <w:ilvl w:val="2"/>
          <w:numId w:val="31"/>
        </w:numPr>
        <w:jc w:val="both"/>
        <w:textAlignment w:val="baseline"/>
        <w:rPr>
          <w:rFonts w:ascii="Times New Roman" w:eastAsia="Times New Roman" w:hAnsi="Times New Roman" w:cs="Times New Roman"/>
          <w:color w:val="212121"/>
        </w:rPr>
      </w:pPr>
      <w:r w:rsidRPr="007C436F">
        <w:rPr>
          <w:rFonts w:ascii="Times New Roman" w:hAnsi="Times New Roman" w:cs="Times New Roman"/>
        </w:rPr>
        <w:t>Agencies, as part of the Executive branch, have more political accountability than the judiciary</w:t>
      </w:r>
      <w:r w:rsidR="009760C7">
        <w:rPr>
          <w:rFonts w:ascii="Times New Roman" w:hAnsi="Times New Roman" w:cs="Times New Roman"/>
        </w:rPr>
        <w:t xml:space="preserve">. </w:t>
      </w:r>
      <w:r w:rsidRPr="007C436F">
        <w:rPr>
          <w:rFonts w:ascii="Times New Roman" w:hAnsi="Times New Roman" w:cs="Times New Roman"/>
          <w:i/>
        </w:rPr>
        <w:t>Chevron</w:t>
      </w:r>
      <w:r w:rsidR="00CF0119" w:rsidRPr="007C436F">
        <w:rPr>
          <w:rFonts w:ascii="Times New Roman" w:hAnsi="Times New Roman" w:cs="Times New Roman"/>
        </w:rPr>
        <w:t>, 467 U.S. at 864-65</w:t>
      </w:r>
      <w:r w:rsidR="009760C7">
        <w:rPr>
          <w:rFonts w:ascii="Times New Roman" w:hAnsi="Times New Roman" w:cs="Times New Roman"/>
        </w:rPr>
        <w:t>.</w:t>
      </w:r>
    </w:p>
    <w:p w14:paraId="2E0EE456" w14:textId="373303F9" w:rsidR="007710BC" w:rsidRPr="009760C7" w:rsidRDefault="007710BC" w:rsidP="009760C7">
      <w:pPr>
        <w:numPr>
          <w:ilvl w:val="2"/>
          <w:numId w:val="31"/>
        </w:numPr>
        <w:jc w:val="both"/>
        <w:textAlignment w:val="baseline"/>
        <w:rPr>
          <w:rFonts w:ascii="Times New Roman" w:eastAsia="Times New Roman" w:hAnsi="Times New Roman" w:cs="Times New Roman"/>
          <w:color w:val="212121"/>
        </w:rPr>
      </w:pPr>
      <w:r w:rsidRPr="009760C7">
        <w:rPr>
          <w:rFonts w:ascii="Times New Roman" w:hAnsi="Times New Roman" w:cs="Times New Roman"/>
        </w:rPr>
        <w:t>Agencies have technical expertise that courts may lack</w:t>
      </w:r>
      <w:r w:rsidR="009760C7">
        <w:rPr>
          <w:rFonts w:ascii="Times New Roman" w:hAnsi="Times New Roman" w:cs="Times New Roman"/>
        </w:rPr>
        <w:t xml:space="preserve">. </w:t>
      </w:r>
      <w:r w:rsidRPr="009760C7">
        <w:rPr>
          <w:rFonts w:ascii="Times New Roman" w:hAnsi="Times New Roman" w:cs="Times New Roman"/>
          <w:i/>
        </w:rPr>
        <w:t>Chevron</w:t>
      </w:r>
      <w:r w:rsidR="00CF0119" w:rsidRPr="009760C7">
        <w:rPr>
          <w:rFonts w:ascii="Times New Roman" w:hAnsi="Times New Roman" w:cs="Times New Roman"/>
        </w:rPr>
        <w:t>, 467 U.S. at 865</w:t>
      </w:r>
      <w:r w:rsidR="009760C7">
        <w:rPr>
          <w:rFonts w:ascii="Times New Roman" w:hAnsi="Times New Roman" w:cs="Times New Roman"/>
        </w:rPr>
        <w:t>.</w:t>
      </w:r>
    </w:p>
    <w:p w14:paraId="0965A557" w14:textId="26313C10" w:rsidR="00A6373A" w:rsidRPr="007C436F" w:rsidRDefault="003378D0">
      <w:pPr>
        <w:numPr>
          <w:ilvl w:val="2"/>
          <w:numId w:val="31"/>
        </w:numPr>
        <w:jc w:val="both"/>
        <w:textAlignment w:val="baseline"/>
        <w:rPr>
          <w:rFonts w:ascii="Times New Roman" w:eastAsia="Times New Roman" w:hAnsi="Times New Roman" w:cs="Times New Roman"/>
          <w:color w:val="212121"/>
        </w:rPr>
      </w:pPr>
      <w:r w:rsidRPr="009B237F">
        <w:rPr>
          <w:rFonts w:ascii="Times New Roman" w:hAnsi="Times New Roman" w:cs="Times New Roman"/>
          <w:i/>
        </w:rPr>
        <w:t>De novo</w:t>
      </w:r>
      <w:r w:rsidRPr="007C436F">
        <w:rPr>
          <w:rFonts w:ascii="Times New Roman" w:hAnsi="Times New Roman" w:cs="Times New Roman"/>
        </w:rPr>
        <w:t xml:space="preserve"> review of agency interpretations itself presents separation of powers issues and “would destabilize the predictable backdrop against which lower courts, Congress, and agencies have operated for more than three decades.”</w:t>
      </w:r>
      <w:r w:rsidRPr="007C436F">
        <w:rPr>
          <w:rFonts w:ascii="Times New Roman" w:eastAsia="Times New Roman" w:hAnsi="Times New Roman" w:cs="Times New Roman"/>
          <w:color w:val="212121"/>
        </w:rPr>
        <w:t xml:space="preserve">  </w:t>
      </w:r>
      <w:r w:rsidR="00B63497" w:rsidRPr="007C436F">
        <w:rPr>
          <w:rFonts w:ascii="Times New Roman" w:eastAsia="Times New Roman" w:hAnsi="Times New Roman" w:cs="Times New Roman"/>
          <w:color w:val="212121"/>
        </w:rPr>
        <w:t xml:space="preserve">Kathryn M. Baldwin, </w:t>
      </w:r>
      <w:r w:rsidR="00A6373A" w:rsidRPr="007C436F">
        <w:rPr>
          <w:rFonts w:ascii="Times New Roman" w:hAnsi="Times New Roman" w:cs="Times New Roman"/>
          <w:i/>
        </w:rPr>
        <w:t>Endangered Deference: Separation of Powers and Judicial Review of Agency Interpretations</w:t>
      </w:r>
      <w:r w:rsidR="00B63497" w:rsidRPr="007C436F">
        <w:rPr>
          <w:rFonts w:ascii="Times New Roman" w:hAnsi="Times New Roman" w:cs="Times New Roman"/>
        </w:rPr>
        <w:t xml:space="preserve">, 92 </w:t>
      </w:r>
      <w:r w:rsidR="00B63497" w:rsidRPr="007C436F">
        <w:rPr>
          <w:rFonts w:ascii="Times New Roman" w:hAnsi="Times New Roman" w:cs="Times New Roman"/>
          <w:smallCaps/>
        </w:rPr>
        <w:t xml:space="preserve">St. John’s L. Rev. </w:t>
      </w:r>
      <w:r w:rsidR="00B63497" w:rsidRPr="007C436F">
        <w:rPr>
          <w:rFonts w:ascii="Times New Roman" w:hAnsi="Times New Roman" w:cs="Times New Roman"/>
        </w:rPr>
        <w:t>91, 94 (2018).</w:t>
      </w:r>
    </w:p>
    <w:p w14:paraId="1B84A83D" w14:textId="4340FF2A" w:rsidR="00A6373A" w:rsidRPr="007C436F" w:rsidRDefault="003378D0" w:rsidP="00A6373A">
      <w:pPr>
        <w:numPr>
          <w:ilvl w:val="2"/>
          <w:numId w:val="31"/>
        </w:numPr>
        <w:jc w:val="both"/>
        <w:textAlignment w:val="baseline"/>
        <w:rPr>
          <w:rFonts w:ascii="Times New Roman" w:eastAsia="Times New Roman" w:hAnsi="Times New Roman" w:cs="Times New Roman"/>
          <w:color w:val="212121"/>
        </w:rPr>
      </w:pPr>
      <w:r w:rsidRPr="007C436F">
        <w:rPr>
          <w:rFonts w:ascii="Times New Roman" w:hAnsi="Times New Roman" w:cs="Times New Roman"/>
        </w:rPr>
        <w:lastRenderedPageBreak/>
        <w:t>Agencies have more insight into the goals and intentions of the legislation and what political and practical compromises were involved</w:t>
      </w:r>
      <w:r w:rsidR="00CF0119" w:rsidRPr="007C436F">
        <w:rPr>
          <w:rFonts w:ascii="Times New Roman" w:hAnsi="Times New Roman" w:cs="Times New Roman"/>
        </w:rPr>
        <w:t xml:space="preserve">.  Christopher J. Walker, </w:t>
      </w:r>
      <w:r w:rsidR="00CF0119" w:rsidRPr="007C436F">
        <w:rPr>
          <w:rFonts w:ascii="Times New Roman" w:hAnsi="Times New Roman" w:cs="Times New Roman"/>
          <w:i/>
        </w:rPr>
        <w:t xml:space="preserve">Legislating in </w:t>
      </w:r>
      <w:proofErr w:type="gramStart"/>
      <w:r w:rsidR="00CF0119" w:rsidRPr="007C436F">
        <w:rPr>
          <w:rFonts w:ascii="Times New Roman" w:hAnsi="Times New Roman" w:cs="Times New Roman"/>
          <w:i/>
        </w:rPr>
        <w:t>The</w:t>
      </w:r>
      <w:proofErr w:type="gramEnd"/>
      <w:r w:rsidR="00CF0119" w:rsidRPr="007C436F">
        <w:rPr>
          <w:rFonts w:ascii="Times New Roman" w:hAnsi="Times New Roman" w:cs="Times New Roman"/>
          <w:i/>
        </w:rPr>
        <w:t xml:space="preserve"> Shadows</w:t>
      </w:r>
      <w:r w:rsidR="00CF0119" w:rsidRPr="007C436F">
        <w:rPr>
          <w:rFonts w:ascii="Times New Roman" w:hAnsi="Times New Roman" w:cs="Times New Roman"/>
        </w:rPr>
        <w:t xml:space="preserve">, 165 </w:t>
      </w:r>
      <w:r w:rsidR="00CF0119" w:rsidRPr="00EC3605">
        <w:rPr>
          <w:rFonts w:ascii="Times New Roman" w:hAnsi="Times New Roman" w:cs="Times New Roman"/>
          <w:smallCaps/>
        </w:rPr>
        <w:t>U. Pa. L. Rev.</w:t>
      </w:r>
      <w:r w:rsidR="00CF0119" w:rsidRPr="007C436F">
        <w:rPr>
          <w:rFonts w:ascii="Times New Roman" w:hAnsi="Times New Roman" w:cs="Times New Roman"/>
        </w:rPr>
        <w:t xml:space="preserve"> 1377 (2017).</w:t>
      </w:r>
    </w:p>
    <w:p w14:paraId="27D2E06E" w14:textId="572D185A" w:rsidR="00B63497" w:rsidRPr="007C436F" w:rsidRDefault="00B63497" w:rsidP="00B63497">
      <w:pPr>
        <w:numPr>
          <w:ilvl w:val="2"/>
          <w:numId w:val="31"/>
        </w:numPr>
        <w:jc w:val="both"/>
        <w:textAlignment w:val="baseline"/>
        <w:rPr>
          <w:rFonts w:ascii="Times New Roman" w:eastAsia="Times New Roman" w:hAnsi="Times New Roman" w:cs="Times New Roman"/>
          <w:color w:val="212121"/>
        </w:rPr>
      </w:pPr>
      <w:r w:rsidRPr="007C436F">
        <w:rPr>
          <w:rFonts w:ascii="Times New Roman" w:eastAsia="Times New Roman" w:hAnsi="Times New Roman" w:cs="Times New Roman"/>
          <w:i/>
          <w:color w:val="212121"/>
        </w:rPr>
        <w:t>Chevron</w:t>
      </w:r>
      <w:r w:rsidRPr="007C436F">
        <w:rPr>
          <w:rFonts w:ascii="Times New Roman" w:eastAsia="Times New Roman" w:hAnsi="Times New Roman" w:cs="Times New Roman"/>
          <w:color w:val="212121"/>
        </w:rPr>
        <w:t xml:space="preserve">’s scope has already been limited by </w:t>
      </w:r>
      <w:r w:rsidR="00C05436">
        <w:rPr>
          <w:rFonts w:ascii="Times New Roman" w:eastAsia="Times New Roman" w:hAnsi="Times New Roman" w:cs="Times New Roman"/>
          <w:i/>
          <w:color w:val="212121"/>
        </w:rPr>
        <w:t xml:space="preserve">United States v. </w:t>
      </w:r>
      <w:r w:rsidRPr="007C436F">
        <w:rPr>
          <w:rFonts w:ascii="Times New Roman" w:eastAsia="Times New Roman" w:hAnsi="Times New Roman" w:cs="Times New Roman"/>
          <w:i/>
          <w:color w:val="212121"/>
        </w:rPr>
        <w:t>Mead</w:t>
      </w:r>
      <w:r w:rsidR="00C05436">
        <w:rPr>
          <w:rFonts w:ascii="Times New Roman" w:eastAsia="Times New Roman" w:hAnsi="Times New Roman" w:cs="Times New Roman"/>
          <w:i/>
          <w:color w:val="212121"/>
        </w:rPr>
        <w:t xml:space="preserve"> Corp.</w:t>
      </w:r>
      <w:r w:rsidR="00C05436">
        <w:rPr>
          <w:rFonts w:ascii="Times New Roman" w:eastAsia="Times New Roman" w:hAnsi="Times New Roman" w:cs="Times New Roman"/>
          <w:color w:val="212121"/>
        </w:rPr>
        <w:t xml:space="preserve">, </w:t>
      </w:r>
      <w:r w:rsidR="00C05436" w:rsidRPr="00C05436">
        <w:rPr>
          <w:rFonts w:ascii="Times New Roman" w:eastAsia="Times New Roman" w:hAnsi="Times New Roman" w:cs="Times New Roman"/>
          <w:color w:val="212121"/>
        </w:rPr>
        <w:t>533 U.S. 218 (2001)</w:t>
      </w:r>
      <w:r w:rsidR="00C05436">
        <w:rPr>
          <w:rFonts w:ascii="Times New Roman" w:eastAsia="Times New Roman" w:hAnsi="Times New Roman" w:cs="Times New Roman"/>
          <w:color w:val="212121"/>
        </w:rPr>
        <w:t>:</w:t>
      </w:r>
      <w:r w:rsidRPr="007C436F">
        <w:rPr>
          <w:rFonts w:ascii="Times New Roman" w:eastAsia="Times New Roman" w:hAnsi="Times New Roman" w:cs="Times New Roman"/>
          <w:color w:val="212121"/>
        </w:rPr>
        <w:t xml:space="preserve"> </w:t>
      </w:r>
      <w:r w:rsidRPr="007C436F">
        <w:rPr>
          <w:rFonts w:ascii="Times New Roman" w:eastAsia="Times New Roman" w:hAnsi="Times New Roman" w:cs="Times New Roman"/>
          <w:i/>
          <w:color w:val="212121"/>
        </w:rPr>
        <w:t>Chevron</w:t>
      </w:r>
      <w:r w:rsidRPr="007C436F">
        <w:rPr>
          <w:rFonts w:ascii="Times New Roman" w:eastAsia="Times New Roman" w:hAnsi="Times New Roman" w:cs="Times New Roman"/>
          <w:color w:val="212121"/>
        </w:rPr>
        <w:t xml:space="preserve"> is only applicable where the interpretation at issue is made by an agency with the authority to make rules with the “force of law,” and if the interpretation is made in exercise of that authority</w:t>
      </w:r>
      <w:r w:rsidR="00C05436">
        <w:rPr>
          <w:rFonts w:ascii="Times New Roman" w:eastAsia="Times New Roman" w:hAnsi="Times New Roman" w:cs="Times New Roman"/>
          <w:color w:val="212121"/>
        </w:rPr>
        <w:t>.</w:t>
      </w:r>
    </w:p>
    <w:p w14:paraId="574ACF85" w14:textId="5FF8B5B9" w:rsidR="00B63497" w:rsidRPr="007C436F" w:rsidRDefault="00B63497" w:rsidP="00B63497">
      <w:pPr>
        <w:numPr>
          <w:ilvl w:val="2"/>
          <w:numId w:val="31"/>
        </w:numPr>
        <w:jc w:val="both"/>
        <w:textAlignment w:val="baseline"/>
        <w:rPr>
          <w:rFonts w:ascii="Times New Roman" w:eastAsia="Times New Roman" w:hAnsi="Times New Roman" w:cs="Times New Roman"/>
          <w:color w:val="212121"/>
        </w:rPr>
      </w:pPr>
      <w:r w:rsidRPr="007C436F">
        <w:rPr>
          <w:rFonts w:ascii="Times New Roman" w:eastAsia="Times New Roman" w:hAnsi="Times New Roman" w:cs="Times New Roman"/>
          <w:color w:val="212121"/>
        </w:rPr>
        <w:t xml:space="preserve">Given the size of the modern administrative state, what could effectively replace </w:t>
      </w:r>
      <w:r w:rsidRPr="007C436F">
        <w:rPr>
          <w:rFonts w:ascii="Times New Roman" w:eastAsia="Times New Roman" w:hAnsi="Times New Roman" w:cs="Times New Roman"/>
          <w:i/>
          <w:color w:val="212121"/>
        </w:rPr>
        <w:t>Chevron</w:t>
      </w:r>
      <w:r w:rsidRPr="007C436F">
        <w:rPr>
          <w:rFonts w:ascii="Times New Roman" w:eastAsia="Times New Roman" w:hAnsi="Times New Roman" w:cs="Times New Roman"/>
          <w:color w:val="212121"/>
        </w:rPr>
        <w:t>?</w:t>
      </w:r>
    </w:p>
    <w:p w14:paraId="4B36F763" w14:textId="77777777" w:rsidR="00A6373A" w:rsidRPr="007C436F" w:rsidRDefault="00A6373A" w:rsidP="009F54EA">
      <w:pPr>
        <w:jc w:val="both"/>
        <w:textAlignment w:val="baseline"/>
        <w:rPr>
          <w:rFonts w:ascii="Times New Roman" w:eastAsia="Times New Roman" w:hAnsi="Times New Roman" w:cs="Times New Roman"/>
          <w:color w:val="212121"/>
        </w:rPr>
      </w:pPr>
    </w:p>
    <w:p w14:paraId="16BD78E5" w14:textId="61AF446C" w:rsidR="009F54EA" w:rsidRPr="009B237F" w:rsidRDefault="009F54EA" w:rsidP="009F54EA">
      <w:pPr>
        <w:numPr>
          <w:ilvl w:val="1"/>
          <w:numId w:val="31"/>
        </w:numPr>
        <w:jc w:val="both"/>
        <w:textAlignment w:val="baseline"/>
        <w:rPr>
          <w:rFonts w:ascii="Times New Roman" w:eastAsia="Times New Roman" w:hAnsi="Times New Roman" w:cs="Times New Roman"/>
          <w:color w:val="212121"/>
        </w:rPr>
      </w:pPr>
      <w:r w:rsidRPr="007C436F">
        <w:rPr>
          <w:rFonts w:ascii="Times New Roman" w:eastAsia="Times New Roman" w:hAnsi="Times New Roman" w:cs="Times New Roman"/>
          <w:color w:val="000000"/>
        </w:rPr>
        <w:t xml:space="preserve">Rationales for Limiting or Eliminating </w:t>
      </w:r>
      <w:r w:rsidRPr="007C436F">
        <w:rPr>
          <w:rFonts w:ascii="Times New Roman" w:eastAsia="Times New Roman" w:hAnsi="Times New Roman" w:cs="Times New Roman"/>
          <w:i/>
          <w:color w:val="000000"/>
        </w:rPr>
        <w:t>Chevron</w:t>
      </w:r>
      <w:r w:rsidRPr="007C436F">
        <w:rPr>
          <w:rFonts w:ascii="Times New Roman" w:eastAsia="Times New Roman" w:hAnsi="Times New Roman" w:cs="Times New Roman"/>
          <w:color w:val="000000"/>
        </w:rPr>
        <w:t xml:space="preserve"> Deference:</w:t>
      </w:r>
    </w:p>
    <w:p w14:paraId="1BE0C132" w14:textId="77777777" w:rsidR="009659D9" w:rsidRPr="007C436F" w:rsidRDefault="009659D9" w:rsidP="009B237F">
      <w:pPr>
        <w:ind w:left="1080"/>
        <w:jc w:val="both"/>
        <w:textAlignment w:val="baseline"/>
        <w:rPr>
          <w:rFonts w:ascii="Times New Roman" w:eastAsia="Times New Roman" w:hAnsi="Times New Roman" w:cs="Times New Roman"/>
          <w:color w:val="212121"/>
        </w:rPr>
      </w:pPr>
    </w:p>
    <w:p w14:paraId="6D6E6E4F" w14:textId="4B53EDB7" w:rsidR="00D10AD1" w:rsidRPr="007C436F" w:rsidRDefault="00CF0119" w:rsidP="00D10AD1">
      <w:pPr>
        <w:numPr>
          <w:ilvl w:val="2"/>
          <w:numId w:val="31"/>
        </w:numPr>
        <w:jc w:val="both"/>
        <w:textAlignment w:val="baseline"/>
        <w:rPr>
          <w:rFonts w:ascii="Times New Roman" w:eastAsia="Times New Roman" w:hAnsi="Times New Roman" w:cs="Times New Roman"/>
          <w:color w:val="212121"/>
        </w:rPr>
      </w:pPr>
      <w:r w:rsidRPr="007C436F">
        <w:rPr>
          <w:rFonts w:ascii="Times New Roman" w:hAnsi="Times New Roman" w:cs="Times New Roman"/>
        </w:rPr>
        <w:t xml:space="preserve">Christopher J. Walker, </w:t>
      </w:r>
      <w:r w:rsidR="00EE2C3D" w:rsidRPr="007C436F">
        <w:rPr>
          <w:rFonts w:ascii="Times New Roman" w:hAnsi="Times New Roman" w:cs="Times New Roman"/>
          <w:i/>
        </w:rPr>
        <w:t>Attacking</w:t>
      </w:r>
      <w:r w:rsidR="00EE2C3D" w:rsidRPr="007C436F">
        <w:rPr>
          <w:rFonts w:ascii="Times New Roman" w:hAnsi="Times New Roman" w:cs="Times New Roman"/>
        </w:rPr>
        <w:t xml:space="preserve"> Auer </w:t>
      </w:r>
      <w:r w:rsidR="00EE2C3D" w:rsidRPr="007C436F">
        <w:rPr>
          <w:rFonts w:ascii="Times New Roman" w:hAnsi="Times New Roman" w:cs="Times New Roman"/>
          <w:i/>
        </w:rPr>
        <w:t>and</w:t>
      </w:r>
      <w:r w:rsidR="00EE2C3D" w:rsidRPr="007C436F">
        <w:rPr>
          <w:rFonts w:ascii="Times New Roman" w:hAnsi="Times New Roman" w:cs="Times New Roman"/>
        </w:rPr>
        <w:t xml:space="preserve"> Chevron</w:t>
      </w:r>
      <w:r w:rsidR="00A118F9" w:rsidRPr="007C436F">
        <w:rPr>
          <w:rFonts w:ascii="Times New Roman" w:hAnsi="Times New Roman" w:cs="Times New Roman"/>
          <w:i/>
        </w:rPr>
        <w:t xml:space="preserve"> Deference:  A Literature Review</w:t>
      </w:r>
      <w:r w:rsidR="00A118F9" w:rsidRPr="007C436F">
        <w:rPr>
          <w:rFonts w:ascii="Times New Roman" w:hAnsi="Times New Roman" w:cs="Times New Roman"/>
        </w:rPr>
        <w:t xml:space="preserve">, 16 </w:t>
      </w:r>
      <w:r w:rsidR="00A118F9" w:rsidRPr="007C436F">
        <w:rPr>
          <w:rFonts w:ascii="Times New Roman" w:hAnsi="Times New Roman" w:cs="Times New Roman"/>
          <w:smallCaps/>
        </w:rPr>
        <w:t xml:space="preserve">Georgetown J. of Law &amp; Pub. </w:t>
      </w:r>
      <w:proofErr w:type="spellStart"/>
      <w:r w:rsidR="00A118F9" w:rsidRPr="007C436F">
        <w:rPr>
          <w:rFonts w:ascii="Times New Roman" w:hAnsi="Times New Roman" w:cs="Times New Roman"/>
          <w:smallCaps/>
        </w:rPr>
        <w:t>Pol’y</w:t>
      </w:r>
      <w:proofErr w:type="spellEnd"/>
      <w:r w:rsidR="00A118F9" w:rsidRPr="007C436F">
        <w:rPr>
          <w:rFonts w:ascii="Times New Roman" w:hAnsi="Times New Roman" w:cs="Times New Roman"/>
        </w:rPr>
        <w:t xml:space="preserve"> 103 (2018)</w:t>
      </w:r>
      <w:r w:rsidRPr="007C436F">
        <w:rPr>
          <w:rFonts w:ascii="Times New Roman" w:hAnsi="Times New Roman" w:cs="Times New Roman"/>
        </w:rPr>
        <w:t>,</w:t>
      </w:r>
      <w:r w:rsidR="00EE2C3D" w:rsidRPr="007C436F">
        <w:rPr>
          <w:rFonts w:ascii="Times New Roman" w:hAnsi="Times New Roman" w:cs="Times New Roman"/>
        </w:rPr>
        <w:t xml:space="preserve"> outlines three </w:t>
      </w:r>
      <w:r w:rsidR="00BE6FDC" w:rsidRPr="007C436F">
        <w:rPr>
          <w:rFonts w:ascii="Times New Roman" w:hAnsi="Times New Roman" w:cs="Times New Roman"/>
        </w:rPr>
        <w:t xml:space="preserve">types of </w:t>
      </w:r>
      <w:r w:rsidR="00D10AD1" w:rsidRPr="007C436F">
        <w:rPr>
          <w:rFonts w:ascii="Times New Roman" w:hAnsi="Times New Roman" w:cs="Times New Roman"/>
        </w:rPr>
        <w:t xml:space="preserve">separation of powers </w:t>
      </w:r>
      <w:r w:rsidR="00BE6FDC" w:rsidRPr="007C436F">
        <w:rPr>
          <w:rFonts w:ascii="Times New Roman" w:hAnsi="Times New Roman" w:cs="Times New Roman"/>
        </w:rPr>
        <w:t>concerns:</w:t>
      </w:r>
    </w:p>
    <w:p w14:paraId="00FB1FFD" w14:textId="71575566" w:rsidR="00D10AD1" w:rsidRPr="007C436F" w:rsidRDefault="00BE6FDC" w:rsidP="00D10AD1">
      <w:pPr>
        <w:numPr>
          <w:ilvl w:val="3"/>
          <w:numId w:val="31"/>
        </w:numPr>
        <w:jc w:val="both"/>
        <w:textAlignment w:val="baseline"/>
        <w:rPr>
          <w:rFonts w:ascii="Times New Roman" w:eastAsia="Times New Roman" w:hAnsi="Times New Roman" w:cs="Times New Roman"/>
          <w:color w:val="212121"/>
        </w:rPr>
      </w:pPr>
      <w:r w:rsidRPr="007C436F">
        <w:rPr>
          <w:rFonts w:ascii="Times New Roman" w:hAnsi="Times New Roman" w:cs="Times New Roman"/>
        </w:rPr>
        <w:t>Article I concerns</w:t>
      </w:r>
      <w:r w:rsidR="00EE2C3D" w:rsidRPr="007C436F">
        <w:rPr>
          <w:rFonts w:ascii="Times New Roman" w:hAnsi="Times New Roman" w:cs="Times New Roman"/>
        </w:rPr>
        <w:t>:</w:t>
      </w:r>
      <w:r w:rsidRPr="007C436F">
        <w:rPr>
          <w:rFonts w:ascii="Times New Roman" w:hAnsi="Times New Roman" w:cs="Times New Roman"/>
        </w:rPr>
        <w:t xml:space="preserve"> perverse incentives for </w:t>
      </w:r>
      <w:r w:rsidR="00EE2C3D" w:rsidRPr="007C436F">
        <w:rPr>
          <w:rFonts w:ascii="Times New Roman" w:hAnsi="Times New Roman" w:cs="Times New Roman"/>
        </w:rPr>
        <w:t>C</w:t>
      </w:r>
      <w:r w:rsidRPr="007C436F">
        <w:rPr>
          <w:rFonts w:ascii="Times New Roman" w:hAnsi="Times New Roman" w:cs="Times New Roman"/>
        </w:rPr>
        <w:t>ongress to delegate lawmaking</w:t>
      </w:r>
      <w:r w:rsidR="00C05436">
        <w:rPr>
          <w:rFonts w:ascii="Times New Roman" w:hAnsi="Times New Roman" w:cs="Times New Roman"/>
        </w:rPr>
        <w:t>.</w:t>
      </w:r>
      <w:r w:rsidR="00A6373A" w:rsidRPr="007C436F">
        <w:rPr>
          <w:rFonts w:ascii="Times New Roman" w:hAnsi="Times New Roman" w:cs="Times New Roman"/>
        </w:rPr>
        <w:t xml:space="preserve"> </w:t>
      </w:r>
    </w:p>
    <w:p w14:paraId="7D32021D" w14:textId="370E229A" w:rsidR="00D10AD1" w:rsidRPr="007C436F" w:rsidRDefault="00BE6FDC" w:rsidP="00D10AD1">
      <w:pPr>
        <w:numPr>
          <w:ilvl w:val="3"/>
          <w:numId w:val="31"/>
        </w:numPr>
        <w:jc w:val="both"/>
        <w:textAlignment w:val="baseline"/>
        <w:rPr>
          <w:rFonts w:ascii="Times New Roman" w:eastAsia="Times New Roman" w:hAnsi="Times New Roman" w:cs="Times New Roman"/>
          <w:color w:val="212121"/>
        </w:rPr>
      </w:pPr>
      <w:r w:rsidRPr="007C436F">
        <w:rPr>
          <w:rFonts w:ascii="Times New Roman" w:hAnsi="Times New Roman" w:cs="Times New Roman"/>
        </w:rPr>
        <w:t>Article II concerns</w:t>
      </w:r>
      <w:r w:rsidR="00EE2C3D" w:rsidRPr="007C436F">
        <w:rPr>
          <w:rFonts w:ascii="Times New Roman" w:hAnsi="Times New Roman" w:cs="Times New Roman"/>
        </w:rPr>
        <w:t xml:space="preserve">:  </w:t>
      </w:r>
      <w:r w:rsidRPr="007C436F">
        <w:rPr>
          <w:rFonts w:ascii="Times New Roman" w:hAnsi="Times New Roman" w:cs="Times New Roman"/>
        </w:rPr>
        <w:t>ability of</w:t>
      </w:r>
      <w:r w:rsidR="00C05436">
        <w:rPr>
          <w:rFonts w:ascii="Times New Roman" w:hAnsi="Times New Roman" w:cs="Times New Roman"/>
        </w:rPr>
        <w:t xml:space="preserve"> the</w:t>
      </w:r>
      <w:r w:rsidRPr="007C436F">
        <w:rPr>
          <w:rFonts w:ascii="Times New Roman" w:hAnsi="Times New Roman" w:cs="Times New Roman"/>
        </w:rPr>
        <w:t xml:space="preserve"> executive to infiltrate the lawmaking process in order to grant themselves the ability to interpret the ambiguities they created</w:t>
      </w:r>
      <w:r w:rsidR="00C05436">
        <w:rPr>
          <w:rFonts w:ascii="Times New Roman" w:hAnsi="Times New Roman" w:cs="Times New Roman"/>
        </w:rPr>
        <w:t>.</w:t>
      </w:r>
    </w:p>
    <w:p w14:paraId="616CE11F" w14:textId="11B6D45C" w:rsidR="009659D9" w:rsidRPr="009659D9" w:rsidRDefault="00D10AD1">
      <w:pPr>
        <w:numPr>
          <w:ilvl w:val="3"/>
          <w:numId w:val="31"/>
        </w:numPr>
        <w:jc w:val="both"/>
        <w:textAlignment w:val="baseline"/>
        <w:rPr>
          <w:rFonts w:ascii="Times New Roman" w:eastAsia="Times New Roman" w:hAnsi="Times New Roman" w:cs="Times New Roman"/>
          <w:color w:val="212121"/>
        </w:rPr>
      </w:pPr>
      <w:r w:rsidRPr="007C436F">
        <w:rPr>
          <w:rFonts w:ascii="Times New Roman" w:hAnsi="Times New Roman" w:cs="Times New Roman"/>
        </w:rPr>
        <w:t>Article III concerns</w:t>
      </w:r>
      <w:r w:rsidR="00EE2C3D" w:rsidRPr="007C436F">
        <w:rPr>
          <w:rFonts w:ascii="Times New Roman" w:hAnsi="Times New Roman" w:cs="Times New Roman"/>
        </w:rPr>
        <w:t xml:space="preserve">: </w:t>
      </w:r>
      <w:r w:rsidRPr="007C436F">
        <w:rPr>
          <w:rFonts w:ascii="Times New Roman" w:hAnsi="Times New Roman" w:cs="Times New Roman"/>
        </w:rPr>
        <w:t xml:space="preserve"> usurpation of judicial power to define the law</w:t>
      </w:r>
      <w:r w:rsidR="00C05436">
        <w:rPr>
          <w:rFonts w:ascii="Times New Roman" w:hAnsi="Times New Roman" w:cs="Times New Roman"/>
        </w:rPr>
        <w:t>.</w:t>
      </w:r>
    </w:p>
    <w:p w14:paraId="36935738" w14:textId="1D55539C" w:rsidR="00BE6FDC" w:rsidRPr="004556ED" w:rsidRDefault="00AF200B" w:rsidP="00A6373A">
      <w:pPr>
        <w:numPr>
          <w:ilvl w:val="2"/>
          <w:numId w:val="31"/>
        </w:numPr>
        <w:jc w:val="both"/>
        <w:textAlignment w:val="baseline"/>
        <w:rPr>
          <w:rFonts w:ascii="Times New Roman" w:eastAsia="Times New Roman" w:hAnsi="Times New Roman" w:cs="Times New Roman"/>
          <w:color w:val="212121"/>
        </w:rPr>
      </w:pPr>
      <w:r w:rsidRPr="007C436F">
        <w:rPr>
          <w:rFonts w:ascii="Times New Roman" w:hAnsi="Times New Roman" w:cs="Times New Roman"/>
          <w:iCs/>
        </w:rPr>
        <w:t>Philip Hamburger,</w:t>
      </w:r>
      <w:r w:rsidRPr="007C436F">
        <w:rPr>
          <w:rFonts w:ascii="Times New Roman" w:hAnsi="Times New Roman" w:cs="Times New Roman"/>
          <w:i/>
          <w:iCs/>
        </w:rPr>
        <w:t xml:space="preserve"> </w:t>
      </w:r>
      <w:r w:rsidR="00A6373A" w:rsidRPr="007C436F">
        <w:rPr>
          <w:rFonts w:ascii="Times New Roman" w:hAnsi="Times New Roman" w:cs="Times New Roman"/>
          <w:iCs/>
        </w:rPr>
        <w:t xml:space="preserve">Chevron </w:t>
      </w:r>
      <w:r w:rsidR="00A6373A" w:rsidRPr="007C436F">
        <w:rPr>
          <w:rFonts w:ascii="Times New Roman" w:hAnsi="Times New Roman" w:cs="Times New Roman"/>
          <w:i/>
          <w:iCs/>
        </w:rPr>
        <w:t>Bias</w:t>
      </w:r>
      <w:r w:rsidRPr="007C436F">
        <w:rPr>
          <w:rFonts w:ascii="Times New Roman" w:hAnsi="Times New Roman" w:cs="Times New Roman"/>
          <w:iCs/>
        </w:rPr>
        <w:t xml:space="preserve">, 84 </w:t>
      </w:r>
      <w:r w:rsidRPr="00C05436">
        <w:rPr>
          <w:rFonts w:ascii="Times New Roman" w:hAnsi="Times New Roman" w:cs="Times New Roman"/>
          <w:iCs/>
          <w:smallCaps/>
        </w:rPr>
        <w:t>Geo. Wash. L. Rev.</w:t>
      </w:r>
      <w:r w:rsidRPr="007C436F">
        <w:rPr>
          <w:rFonts w:ascii="Times New Roman" w:hAnsi="Times New Roman" w:cs="Times New Roman"/>
          <w:iCs/>
        </w:rPr>
        <w:t xml:space="preserve"> 1187 (2016)</w:t>
      </w:r>
      <w:r w:rsidR="00A6373A" w:rsidRPr="007C436F">
        <w:rPr>
          <w:rFonts w:ascii="Times New Roman" w:hAnsi="Times New Roman" w:cs="Times New Roman"/>
          <w:iCs/>
        </w:rPr>
        <w:t xml:space="preserve">:  </w:t>
      </w:r>
      <w:r w:rsidR="00A6373A" w:rsidRPr="007C436F">
        <w:rPr>
          <w:rFonts w:ascii="Times New Roman" w:hAnsi="Times New Roman" w:cs="Times New Roman"/>
        </w:rPr>
        <w:t>B</w:t>
      </w:r>
      <w:r w:rsidR="00BE6FDC" w:rsidRPr="007C436F">
        <w:rPr>
          <w:rFonts w:ascii="Times New Roman" w:hAnsi="Times New Roman" w:cs="Times New Roman"/>
        </w:rPr>
        <w:t xml:space="preserve">y engaging in deference, judges are violating their duty to exercise their own independent judgment, and that deference violates the </w:t>
      </w:r>
      <w:r w:rsidR="00E221D7" w:rsidRPr="007C436F">
        <w:rPr>
          <w:rFonts w:ascii="Times New Roman" w:hAnsi="Times New Roman" w:cs="Times New Roman"/>
        </w:rPr>
        <w:t xml:space="preserve">Fifth </w:t>
      </w:r>
      <w:r w:rsidR="00BE6FDC" w:rsidRPr="007C436F">
        <w:rPr>
          <w:rFonts w:ascii="Times New Roman" w:hAnsi="Times New Roman" w:cs="Times New Roman"/>
        </w:rPr>
        <w:t>Amendment’s prohibition against systematic bias</w:t>
      </w:r>
      <w:r w:rsidR="00E221D7" w:rsidRPr="007C436F">
        <w:rPr>
          <w:rFonts w:ascii="Times New Roman" w:hAnsi="Times New Roman" w:cs="Times New Roman"/>
        </w:rPr>
        <w:t>,</w:t>
      </w:r>
      <w:r w:rsidR="00BE6FDC" w:rsidRPr="007C436F">
        <w:rPr>
          <w:rFonts w:ascii="Times New Roman" w:hAnsi="Times New Roman" w:cs="Times New Roman"/>
        </w:rPr>
        <w:t xml:space="preserve"> because deference is systematic bias toward the </w:t>
      </w:r>
      <w:r w:rsidR="00E221D7" w:rsidRPr="007C436F">
        <w:rPr>
          <w:rFonts w:ascii="Times New Roman" w:hAnsi="Times New Roman" w:cs="Times New Roman"/>
        </w:rPr>
        <w:t xml:space="preserve">government </w:t>
      </w:r>
      <w:r w:rsidR="00BE6FDC" w:rsidRPr="007C436F">
        <w:rPr>
          <w:rFonts w:ascii="Times New Roman" w:hAnsi="Times New Roman" w:cs="Times New Roman"/>
        </w:rPr>
        <w:t>and against Americans</w:t>
      </w:r>
      <w:r w:rsidR="00E221D7" w:rsidRPr="007C436F">
        <w:rPr>
          <w:rFonts w:ascii="Times New Roman" w:hAnsi="Times New Roman" w:cs="Times New Roman"/>
        </w:rPr>
        <w:t>.</w:t>
      </w:r>
    </w:p>
    <w:p w14:paraId="6D753B5F" w14:textId="77777777" w:rsidR="004556ED" w:rsidRPr="00A5391C" w:rsidRDefault="004556ED" w:rsidP="004556ED">
      <w:pPr>
        <w:ind w:left="1800"/>
        <w:jc w:val="both"/>
        <w:textAlignment w:val="baseline"/>
        <w:rPr>
          <w:rFonts w:ascii="Times New Roman" w:eastAsia="Times New Roman" w:hAnsi="Times New Roman" w:cs="Times New Roman"/>
          <w:color w:val="212121"/>
        </w:rPr>
      </w:pPr>
    </w:p>
    <w:p w14:paraId="0C309E96" w14:textId="34C07AFA" w:rsidR="00586266" w:rsidRDefault="00586266" w:rsidP="00A5391C">
      <w:pPr>
        <w:numPr>
          <w:ilvl w:val="1"/>
          <w:numId w:val="31"/>
        </w:numPr>
        <w:jc w:val="both"/>
        <w:textAlignment w:val="baseline"/>
      </w:pPr>
      <w:r w:rsidRPr="00586266">
        <w:t xml:space="preserve">For a survey of federal appellate judges’ approaches to statutory interpretation, including their views on </w:t>
      </w:r>
      <w:r w:rsidRPr="00586266">
        <w:rPr>
          <w:i/>
        </w:rPr>
        <w:t>Chevron</w:t>
      </w:r>
      <w:r w:rsidRPr="00586266">
        <w:t xml:space="preserve"> deference, </w:t>
      </w:r>
      <w:r w:rsidRPr="00586266">
        <w:rPr>
          <w:i/>
        </w:rPr>
        <w:t>see</w:t>
      </w:r>
      <w:r w:rsidRPr="00586266">
        <w:t xml:space="preserve"> Abbe R. Gluck &amp; Richard A. Posner, </w:t>
      </w:r>
      <w:r w:rsidRPr="00586266">
        <w:rPr>
          <w:i/>
        </w:rPr>
        <w:t>Statutory Interpretation on the Bench: A Survey of Forty-Two Judges on the Federal Courts of Appeals</w:t>
      </w:r>
      <w:r w:rsidRPr="00586266">
        <w:t xml:space="preserve">, 131 </w:t>
      </w:r>
      <w:proofErr w:type="spellStart"/>
      <w:r w:rsidRPr="00586266">
        <w:rPr>
          <w:smallCaps/>
        </w:rPr>
        <w:t>Harv</w:t>
      </w:r>
      <w:proofErr w:type="spellEnd"/>
      <w:r w:rsidRPr="00586266">
        <w:rPr>
          <w:smallCaps/>
        </w:rPr>
        <w:t>. L. Rev.</w:t>
      </w:r>
      <w:r w:rsidRPr="00586266">
        <w:t xml:space="preserve"> 1298 (2018)</w:t>
      </w:r>
      <w:r>
        <w:t>.</w:t>
      </w:r>
    </w:p>
    <w:p w14:paraId="573A9300" w14:textId="77777777" w:rsidR="00586266" w:rsidRPr="00586266" w:rsidRDefault="00586266" w:rsidP="00586266">
      <w:pPr>
        <w:ind w:left="1080"/>
        <w:jc w:val="both"/>
        <w:textAlignment w:val="baseline"/>
      </w:pPr>
    </w:p>
    <w:p w14:paraId="4350D769" w14:textId="6897E89A" w:rsidR="00A5391C" w:rsidRPr="00190CD2" w:rsidRDefault="004556ED" w:rsidP="00A5391C">
      <w:pPr>
        <w:numPr>
          <w:ilvl w:val="1"/>
          <w:numId w:val="31"/>
        </w:numPr>
        <w:jc w:val="both"/>
        <w:textAlignment w:val="baseline"/>
        <w:rPr>
          <w:rFonts w:ascii="Times New Roman" w:eastAsia="Times New Roman" w:hAnsi="Times New Roman" w:cs="Times New Roman"/>
          <w:color w:val="212121"/>
        </w:rPr>
      </w:pPr>
      <w:r>
        <w:t xml:space="preserve">For a discussion of the applicability of deference under </w:t>
      </w:r>
      <w:r w:rsidRPr="004556ED">
        <w:rPr>
          <w:i/>
        </w:rPr>
        <w:t>Chevron</w:t>
      </w:r>
      <w:r>
        <w:t xml:space="preserve">, </w:t>
      </w:r>
      <w:r w:rsidRPr="004556ED">
        <w:rPr>
          <w:i/>
        </w:rPr>
        <w:t>Skidmore</w:t>
      </w:r>
      <w:r>
        <w:t xml:space="preserve">, and </w:t>
      </w:r>
      <w:r w:rsidRPr="004556ED">
        <w:rPr>
          <w:i/>
        </w:rPr>
        <w:t>Auer</w:t>
      </w:r>
      <w:r>
        <w:t xml:space="preserve"> when determining the level of deference to accord informal agency guidance</w:t>
      </w:r>
      <w:r w:rsidR="00C47D78">
        <w:t>,</w:t>
      </w:r>
      <w:r>
        <w:t xml:space="preserve"> </w:t>
      </w:r>
      <w:r>
        <w:rPr>
          <w:i/>
        </w:rPr>
        <w:t xml:space="preserve">see </w:t>
      </w:r>
      <w:r w:rsidRPr="004556ED">
        <w:rPr>
          <w:i/>
        </w:rPr>
        <w:t>Student Loan Servicing Alliance v. District of Columbia</w:t>
      </w:r>
      <w:r>
        <w:t xml:space="preserve">, </w:t>
      </w:r>
      <w:r w:rsidR="001445BB">
        <w:t>No. 18-0640,</w:t>
      </w:r>
      <w:r w:rsidR="001445BB">
        <w:t xml:space="preserve"> </w:t>
      </w:r>
      <w:r>
        <w:t xml:space="preserve">2018 WL 6082963, at *10–13 (D.D.C. Nov. 21, 2018).  </w:t>
      </w:r>
    </w:p>
    <w:p w14:paraId="516066C8" w14:textId="77777777" w:rsidR="00190CD2" w:rsidRPr="00190CD2" w:rsidRDefault="00190CD2" w:rsidP="00190CD2">
      <w:pPr>
        <w:ind w:left="1080"/>
        <w:jc w:val="both"/>
        <w:textAlignment w:val="baseline"/>
        <w:rPr>
          <w:rFonts w:ascii="Times New Roman" w:eastAsia="Times New Roman" w:hAnsi="Times New Roman" w:cs="Times New Roman"/>
          <w:color w:val="212121"/>
        </w:rPr>
      </w:pPr>
    </w:p>
    <w:p w14:paraId="069E9B4F" w14:textId="1AF550C7" w:rsidR="004C6C9A" w:rsidRPr="00190CD2" w:rsidRDefault="00190CD2" w:rsidP="00190CD2">
      <w:pPr>
        <w:numPr>
          <w:ilvl w:val="1"/>
          <w:numId w:val="31"/>
        </w:numPr>
        <w:jc w:val="both"/>
        <w:textAlignment w:val="baseline"/>
        <w:rPr>
          <w:rFonts w:ascii="Times New Roman" w:eastAsia="Times New Roman" w:hAnsi="Times New Roman" w:cs="Times New Roman"/>
          <w:color w:val="212121"/>
        </w:rPr>
      </w:pPr>
      <w:r w:rsidRPr="00190CD2">
        <w:rPr>
          <w:rFonts w:ascii="Times New Roman" w:hAnsi="Times New Roman" w:cs="Times New Roman"/>
          <w:color w:val="212121"/>
        </w:rPr>
        <w:t xml:space="preserve">For </w:t>
      </w:r>
      <w:r w:rsidR="001445BB">
        <w:rPr>
          <w:rFonts w:ascii="Times New Roman" w:hAnsi="Times New Roman" w:cs="Times New Roman"/>
          <w:color w:val="212121"/>
        </w:rPr>
        <w:t xml:space="preserve">a </w:t>
      </w:r>
      <w:bookmarkStart w:id="0" w:name="_GoBack"/>
      <w:bookmarkEnd w:id="0"/>
      <w:r w:rsidRPr="00190CD2">
        <w:rPr>
          <w:rFonts w:ascii="Times New Roman" w:hAnsi="Times New Roman" w:cs="Times New Roman"/>
          <w:color w:val="212121"/>
        </w:rPr>
        <w:t xml:space="preserve">discussion of the applicability of </w:t>
      </w:r>
      <w:r w:rsidRPr="00190CD2">
        <w:rPr>
          <w:rFonts w:ascii="Times New Roman" w:hAnsi="Times New Roman" w:cs="Times New Roman"/>
          <w:i/>
          <w:iCs/>
          <w:color w:val="212121"/>
        </w:rPr>
        <w:t>Chevron</w:t>
      </w:r>
      <w:r w:rsidRPr="00190CD2">
        <w:rPr>
          <w:rFonts w:ascii="Times New Roman" w:hAnsi="Times New Roman" w:cs="Times New Roman"/>
          <w:color w:val="212121"/>
        </w:rPr>
        <w:t xml:space="preserve"> and </w:t>
      </w:r>
      <w:r w:rsidRPr="00190CD2">
        <w:rPr>
          <w:rFonts w:ascii="Times New Roman" w:hAnsi="Times New Roman" w:cs="Times New Roman"/>
          <w:i/>
          <w:iCs/>
          <w:color w:val="212121"/>
        </w:rPr>
        <w:t xml:space="preserve">Auer </w:t>
      </w:r>
      <w:r w:rsidRPr="00190CD2">
        <w:rPr>
          <w:rFonts w:ascii="Times New Roman" w:hAnsi="Times New Roman" w:cs="Times New Roman"/>
          <w:color w:val="212121"/>
        </w:rPr>
        <w:t xml:space="preserve">deference to Patent and Trademark Office regulations directed to motions to amend the claims in an </w:t>
      </w:r>
      <w:r w:rsidRPr="00190CD2">
        <w:rPr>
          <w:rFonts w:ascii="Times New Roman" w:hAnsi="Times New Roman" w:cs="Times New Roman"/>
          <w:i/>
          <w:iCs/>
          <w:color w:val="212121"/>
        </w:rPr>
        <w:t xml:space="preserve">inter </w:t>
      </w:r>
      <w:proofErr w:type="spellStart"/>
      <w:r w:rsidRPr="00190CD2">
        <w:rPr>
          <w:rFonts w:ascii="Times New Roman" w:hAnsi="Times New Roman" w:cs="Times New Roman"/>
          <w:i/>
          <w:iCs/>
          <w:color w:val="212121"/>
        </w:rPr>
        <w:t>partes</w:t>
      </w:r>
      <w:proofErr w:type="spellEnd"/>
      <w:r w:rsidRPr="00190CD2">
        <w:rPr>
          <w:rFonts w:ascii="Times New Roman" w:hAnsi="Times New Roman" w:cs="Times New Roman"/>
          <w:color w:val="212121"/>
        </w:rPr>
        <w:t xml:space="preserve"> review proceeding, as well as the applicability of these deference doctrines to the Patent Trial and Appeal Board’s interpretation of those regulations, </w:t>
      </w:r>
      <w:r w:rsidRPr="00190CD2">
        <w:rPr>
          <w:rFonts w:ascii="Times New Roman" w:hAnsi="Times New Roman" w:cs="Times New Roman"/>
          <w:i/>
          <w:iCs/>
          <w:color w:val="212121"/>
        </w:rPr>
        <w:t>see</w:t>
      </w:r>
      <w:r w:rsidRPr="00190CD2">
        <w:rPr>
          <w:rFonts w:ascii="Times New Roman" w:hAnsi="Times New Roman" w:cs="Times New Roman"/>
          <w:color w:val="212121"/>
        </w:rPr>
        <w:t xml:space="preserve"> </w:t>
      </w:r>
      <w:r w:rsidRPr="00190CD2">
        <w:rPr>
          <w:rFonts w:ascii="Times New Roman" w:hAnsi="Times New Roman" w:cs="Times New Roman"/>
          <w:i/>
          <w:iCs/>
          <w:color w:val="212121"/>
        </w:rPr>
        <w:t xml:space="preserve">Aqua Products, Inc. v. </w:t>
      </w:r>
      <w:proofErr w:type="spellStart"/>
      <w:r w:rsidRPr="00190CD2">
        <w:rPr>
          <w:rFonts w:ascii="Times New Roman" w:hAnsi="Times New Roman" w:cs="Times New Roman"/>
          <w:i/>
          <w:iCs/>
          <w:color w:val="212121"/>
        </w:rPr>
        <w:t>Matal</w:t>
      </w:r>
      <w:proofErr w:type="spellEnd"/>
      <w:r w:rsidRPr="00190CD2">
        <w:rPr>
          <w:rFonts w:ascii="Times New Roman" w:hAnsi="Times New Roman" w:cs="Times New Roman"/>
          <w:color w:val="212121"/>
        </w:rPr>
        <w:t>, 872 F.3d 1290 (Fed. Cir. 2017) (</w:t>
      </w:r>
      <w:proofErr w:type="spellStart"/>
      <w:r w:rsidRPr="00190CD2">
        <w:rPr>
          <w:rFonts w:ascii="Times New Roman" w:hAnsi="Times New Roman" w:cs="Times New Roman"/>
          <w:color w:val="212121"/>
        </w:rPr>
        <w:t>en</w:t>
      </w:r>
      <w:proofErr w:type="spellEnd"/>
      <w:r w:rsidRPr="00190CD2">
        <w:rPr>
          <w:rFonts w:ascii="Times New Roman" w:hAnsi="Times New Roman" w:cs="Times New Roman"/>
          <w:color w:val="212121"/>
        </w:rPr>
        <w:t xml:space="preserve"> banc).</w:t>
      </w:r>
    </w:p>
    <w:p w14:paraId="1B97F528" w14:textId="77777777" w:rsidR="001B70CB" w:rsidRPr="009B237F" w:rsidRDefault="001B70CB" w:rsidP="009B237F">
      <w:pPr>
        <w:ind w:left="360"/>
        <w:jc w:val="both"/>
        <w:textAlignment w:val="baseline"/>
        <w:rPr>
          <w:rFonts w:ascii="Times New Roman" w:eastAsia="Times New Roman" w:hAnsi="Times New Roman" w:cs="Times New Roman"/>
          <w:color w:val="212121"/>
        </w:rPr>
      </w:pPr>
    </w:p>
    <w:p w14:paraId="1FDEB4CC" w14:textId="0189B957" w:rsidR="00545F9C" w:rsidRPr="009B237F" w:rsidRDefault="00D10AD1" w:rsidP="00545F9C">
      <w:pPr>
        <w:numPr>
          <w:ilvl w:val="0"/>
          <w:numId w:val="31"/>
        </w:numPr>
        <w:jc w:val="both"/>
        <w:textAlignment w:val="baseline"/>
        <w:rPr>
          <w:rFonts w:ascii="Times New Roman" w:eastAsia="Times New Roman" w:hAnsi="Times New Roman" w:cs="Times New Roman"/>
          <w:color w:val="212121"/>
          <w:sz w:val="28"/>
        </w:rPr>
      </w:pPr>
      <w:r w:rsidRPr="009B237F">
        <w:rPr>
          <w:rFonts w:ascii="Times New Roman" w:hAnsi="Times New Roman" w:cs="Times New Roman"/>
          <w:sz w:val="28"/>
        </w:rPr>
        <w:t xml:space="preserve">Recent Trends in </w:t>
      </w:r>
      <w:r w:rsidR="00A6373A" w:rsidRPr="009B237F">
        <w:rPr>
          <w:rFonts w:ascii="Times New Roman" w:hAnsi="Times New Roman" w:cs="Times New Roman"/>
          <w:sz w:val="28"/>
        </w:rPr>
        <w:t>the</w:t>
      </w:r>
      <w:r w:rsidRPr="009B237F">
        <w:rPr>
          <w:rFonts w:ascii="Times New Roman" w:hAnsi="Times New Roman" w:cs="Times New Roman"/>
          <w:sz w:val="28"/>
        </w:rPr>
        <w:t xml:space="preserve"> Supreme Court’s</w:t>
      </w:r>
      <w:r w:rsidR="00A6373A" w:rsidRPr="009B237F">
        <w:rPr>
          <w:rFonts w:ascii="Times New Roman" w:hAnsi="Times New Roman" w:cs="Times New Roman"/>
          <w:sz w:val="28"/>
        </w:rPr>
        <w:t xml:space="preserve"> Application of </w:t>
      </w:r>
      <w:r w:rsidR="001B4CDD" w:rsidRPr="009B237F">
        <w:rPr>
          <w:rFonts w:ascii="Times New Roman" w:hAnsi="Times New Roman" w:cs="Times New Roman"/>
          <w:i/>
          <w:sz w:val="28"/>
        </w:rPr>
        <w:t>Chevron</w:t>
      </w:r>
      <w:r w:rsidR="001B4CDD" w:rsidRPr="009B237F">
        <w:rPr>
          <w:rFonts w:ascii="Times New Roman" w:hAnsi="Times New Roman" w:cs="Times New Roman"/>
          <w:sz w:val="28"/>
        </w:rPr>
        <w:t xml:space="preserve"> </w:t>
      </w:r>
    </w:p>
    <w:p w14:paraId="145AF342" w14:textId="48E91CE4" w:rsidR="00D10AD1" w:rsidRPr="007C436F" w:rsidRDefault="00D10AD1" w:rsidP="00580BF9">
      <w:pPr>
        <w:ind w:left="1080"/>
        <w:jc w:val="both"/>
        <w:textAlignment w:val="baseline"/>
        <w:rPr>
          <w:rFonts w:ascii="Times New Roman" w:eastAsia="Times New Roman" w:hAnsi="Times New Roman" w:cs="Times New Roman"/>
          <w:color w:val="212121"/>
        </w:rPr>
      </w:pPr>
    </w:p>
    <w:p w14:paraId="5604B06C" w14:textId="3356B73A" w:rsidR="00D10AD1" w:rsidRPr="009B237F" w:rsidRDefault="00C05436" w:rsidP="00D10AD1">
      <w:pPr>
        <w:numPr>
          <w:ilvl w:val="1"/>
          <w:numId w:val="31"/>
        </w:numPr>
        <w:jc w:val="both"/>
        <w:textAlignment w:val="baseline"/>
        <w:rPr>
          <w:rFonts w:ascii="Times New Roman" w:eastAsia="Times New Roman" w:hAnsi="Times New Roman" w:cs="Times New Roman"/>
          <w:color w:val="212121"/>
        </w:rPr>
      </w:pPr>
      <w:r>
        <w:rPr>
          <w:rFonts w:ascii="Times New Roman" w:eastAsia="Times New Roman" w:hAnsi="Times New Roman" w:cs="Times New Roman"/>
          <w:color w:val="000000"/>
        </w:rPr>
        <w:lastRenderedPageBreak/>
        <w:t>No Supreme Court majority has r</w:t>
      </w:r>
      <w:r w:rsidR="00D10AD1" w:rsidRPr="007C436F">
        <w:rPr>
          <w:rFonts w:ascii="Times New Roman" w:eastAsia="Times New Roman" w:hAnsi="Times New Roman" w:cs="Times New Roman"/>
          <w:color w:val="000000"/>
        </w:rPr>
        <w:t xml:space="preserve">elied on </w:t>
      </w:r>
      <w:r w:rsidR="00D10AD1" w:rsidRPr="007C436F">
        <w:rPr>
          <w:rFonts w:ascii="Times New Roman" w:eastAsia="Times New Roman" w:hAnsi="Times New Roman" w:cs="Times New Roman"/>
          <w:i/>
          <w:iCs/>
          <w:color w:val="000000"/>
        </w:rPr>
        <w:t>Chevron</w:t>
      </w:r>
      <w:r>
        <w:rPr>
          <w:rFonts w:ascii="Times New Roman" w:eastAsia="Times New Roman" w:hAnsi="Times New Roman" w:cs="Times New Roman"/>
          <w:color w:val="000000"/>
        </w:rPr>
        <w:t xml:space="preserve"> deference s</w:t>
      </w:r>
      <w:r w:rsidR="00D10AD1" w:rsidRPr="007C436F">
        <w:rPr>
          <w:rFonts w:ascii="Times New Roman" w:eastAsia="Times New Roman" w:hAnsi="Times New Roman" w:cs="Times New Roman"/>
          <w:color w:val="000000"/>
        </w:rPr>
        <w:t xml:space="preserve">ince </w:t>
      </w:r>
      <w:proofErr w:type="spellStart"/>
      <w:r w:rsidR="00D10AD1" w:rsidRPr="007C436F">
        <w:rPr>
          <w:rFonts w:ascii="Times New Roman" w:eastAsia="Times New Roman" w:hAnsi="Times New Roman" w:cs="Times New Roman"/>
          <w:i/>
          <w:iCs/>
          <w:color w:val="000000"/>
        </w:rPr>
        <w:t>Cuozzo</w:t>
      </w:r>
      <w:proofErr w:type="spellEnd"/>
      <w:r w:rsidR="00D10AD1" w:rsidRPr="007C436F">
        <w:rPr>
          <w:rFonts w:ascii="Times New Roman" w:eastAsia="Times New Roman" w:hAnsi="Times New Roman" w:cs="Times New Roman"/>
          <w:i/>
          <w:iCs/>
          <w:color w:val="000000"/>
        </w:rPr>
        <w:t xml:space="preserve"> Speed Techs., LLC v. Lee</w:t>
      </w:r>
      <w:r w:rsidR="00D10AD1" w:rsidRPr="007C436F">
        <w:rPr>
          <w:rFonts w:ascii="Times New Roman" w:eastAsia="Times New Roman" w:hAnsi="Times New Roman" w:cs="Times New Roman"/>
          <w:color w:val="000000"/>
        </w:rPr>
        <w:t>, 136 S. Ct. 2131 (2016).</w:t>
      </w:r>
    </w:p>
    <w:p w14:paraId="20BFE95D" w14:textId="77777777" w:rsidR="009659D9" w:rsidRPr="007C436F" w:rsidRDefault="009659D9" w:rsidP="009B237F">
      <w:pPr>
        <w:ind w:left="1080"/>
        <w:jc w:val="both"/>
        <w:textAlignment w:val="baseline"/>
        <w:rPr>
          <w:rFonts w:ascii="Times New Roman" w:eastAsia="Times New Roman" w:hAnsi="Times New Roman" w:cs="Times New Roman"/>
          <w:color w:val="212121"/>
        </w:rPr>
      </w:pPr>
    </w:p>
    <w:p w14:paraId="235683D9" w14:textId="45822F3B" w:rsidR="00D10AD1" w:rsidRPr="007C436F" w:rsidRDefault="00D10AD1" w:rsidP="00D10AD1">
      <w:pPr>
        <w:numPr>
          <w:ilvl w:val="2"/>
          <w:numId w:val="31"/>
        </w:numPr>
        <w:jc w:val="both"/>
        <w:textAlignment w:val="baseline"/>
        <w:rPr>
          <w:rFonts w:ascii="Times New Roman" w:eastAsia="Times New Roman" w:hAnsi="Times New Roman" w:cs="Times New Roman"/>
          <w:color w:val="212121"/>
        </w:rPr>
      </w:pPr>
      <w:r w:rsidRPr="007C436F">
        <w:rPr>
          <w:rFonts w:ascii="Times New Roman" w:eastAsia="Times New Roman" w:hAnsi="Times New Roman" w:cs="Times New Roman"/>
          <w:i/>
          <w:iCs/>
          <w:color w:val="000000"/>
        </w:rPr>
        <w:t xml:space="preserve">SAS Inst., Inc. v. </w:t>
      </w:r>
      <w:proofErr w:type="spellStart"/>
      <w:r w:rsidRPr="007C436F">
        <w:rPr>
          <w:rFonts w:ascii="Times New Roman" w:eastAsia="Times New Roman" w:hAnsi="Times New Roman" w:cs="Times New Roman"/>
          <w:i/>
          <w:iCs/>
          <w:color w:val="000000"/>
        </w:rPr>
        <w:t>Iancu</w:t>
      </w:r>
      <w:proofErr w:type="spellEnd"/>
      <w:r w:rsidRPr="007C436F">
        <w:rPr>
          <w:rFonts w:ascii="Times New Roman" w:eastAsia="Times New Roman" w:hAnsi="Times New Roman" w:cs="Times New Roman"/>
          <w:color w:val="000000"/>
        </w:rPr>
        <w:t>, 138 S. Ct. 1348, 1358 (2018) (Gorsuch, J.) (“</w:t>
      </w:r>
      <w:r w:rsidRPr="007C436F">
        <w:rPr>
          <w:rFonts w:ascii="Times New Roman" w:eastAsia="Times New Roman" w:hAnsi="Times New Roman" w:cs="Times New Roman"/>
          <w:color w:val="000000"/>
          <w:shd w:val="clear" w:color="auto" w:fill="FFFFFF"/>
        </w:rPr>
        <w:t xml:space="preserve">But whether </w:t>
      </w:r>
      <w:r w:rsidRPr="007C436F">
        <w:rPr>
          <w:rFonts w:ascii="Times New Roman" w:eastAsia="Times New Roman" w:hAnsi="Times New Roman" w:cs="Times New Roman"/>
          <w:i/>
          <w:iCs/>
          <w:color w:val="000000"/>
          <w:shd w:val="clear" w:color="auto" w:fill="FFFFFF"/>
        </w:rPr>
        <w:t>Chevron</w:t>
      </w:r>
      <w:r w:rsidRPr="007C436F">
        <w:rPr>
          <w:rFonts w:ascii="Times New Roman" w:eastAsia="Times New Roman" w:hAnsi="Times New Roman" w:cs="Times New Roman"/>
          <w:color w:val="000000"/>
          <w:shd w:val="clear" w:color="auto" w:fill="FFFFFF"/>
        </w:rPr>
        <w:t xml:space="preserve"> should remain is a question we may leave for another day. Even under </w:t>
      </w:r>
      <w:r w:rsidRPr="007C436F">
        <w:rPr>
          <w:rFonts w:ascii="Times New Roman" w:eastAsia="Times New Roman" w:hAnsi="Times New Roman" w:cs="Times New Roman"/>
          <w:i/>
          <w:iCs/>
          <w:color w:val="000000"/>
          <w:shd w:val="clear" w:color="auto" w:fill="FFFFFF"/>
        </w:rPr>
        <w:t>Chevron,</w:t>
      </w:r>
      <w:r w:rsidRPr="007C436F">
        <w:rPr>
          <w:rFonts w:ascii="Times New Roman" w:eastAsia="Times New Roman" w:hAnsi="Times New Roman" w:cs="Times New Roman"/>
          <w:color w:val="000000"/>
          <w:shd w:val="clear" w:color="auto" w:fill="FFFFFF"/>
        </w:rPr>
        <w:t xml:space="preserve"> we owe an agency's interpretation of the law no deference unless, after employing traditional tools of statutory construction, we find ourselves unable to discern Congress</w:t>
      </w:r>
      <w:r w:rsidR="00641C59">
        <w:rPr>
          <w:rFonts w:ascii="Times New Roman" w:eastAsia="Times New Roman" w:hAnsi="Times New Roman" w:cs="Times New Roman"/>
          <w:color w:val="000000"/>
          <w:shd w:val="clear" w:color="auto" w:fill="FFFFFF"/>
        </w:rPr>
        <w:t>’</w:t>
      </w:r>
      <w:r w:rsidRPr="007C436F">
        <w:rPr>
          <w:rFonts w:ascii="Times New Roman" w:eastAsia="Times New Roman" w:hAnsi="Times New Roman" w:cs="Times New Roman"/>
          <w:color w:val="000000"/>
          <w:shd w:val="clear" w:color="auto" w:fill="FFFFFF"/>
        </w:rPr>
        <w:t>s meaning.”) (</w:t>
      </w:r>
      <w:proofErr w:type="gramStart"/>
      <w:r w:rsidRPr="007C436F">
        <w:rPr>
          <w:rFonts w:ascii="Times New Roman" w:eastAsia="Times New Roman" w:hAnsi="Times New Roman" w:cs="Times New Roman"/>
          <w:color w:val="000000"/>
          <w:shd w:val="clear" w:color="auto" w:fill="FFFFFF"/>
        </w:rPr>
        <w:t>internal</w:t>
      </w:r>
      <w:proofErr w:type="gramEnd"/>
      <w:r w:rsidRPr="007C436F">
        <w:rPr>
          <w:rFonts w:ascii="Times New Roman" w:eastAsia="Times New Roman" w:hAnsi="Times New Roman" w:cs="Times New Roman"/>
          <w:color w:val="000000"/>
          <w:shd w:val="clear" w:color="auto" w:fill="FFFFFF"/>
        </w:rPr>
        <w:t xml:space="preserve"> citations and quotation marks omitted).</w:t>
      </w:r>
      <w:r w:rsidRPr="007C436F">
        <w:rPr>
          <w:rStyle w:val="FootnoteReference"/>
          <w:rFonts w:ascii="Times New Roman" w:eastAsia="Times New Roman" w:hAnsi="Times New Roman" w:cs="Times New Roman"/>
          <w:color w:val="000000"/>
          <w:shd w:val="clear" w:color="auto" w:fill="FFFFFF"/>
        </w:rPr>
        <w:footnoteReference w:id="2"/>
      </w:r>
    </w:p>
    <w:p w14:paraId="21470D34" w14:textId="77777777" w:rsidR="00D10AD1" w:rsidRPr="007C436F" w:rsidRDefault="00D10AD1" w:rsidP="00D10AD1">
      <w:pPr>
        <w:numPr>
          <w:ilvl w:val="2"/>
          <w:numId w:val="31"/>
        </w:numPr>
        <w:jc w:val="both"/>
        <w:textAlignment w:val="baseline"/>
        <w:rPr>
          <w:rFonts w:ascii="Times New Roman" w:eastAsia="Times New Roman" w:hAnsi="Times New Roman" w:cs="Times New Roman"/>
          <w:color w:val="212121"/>
        </w:rPr>
      </w:pPr>
      <w:r w:rsidRPr="007C436F">
        <w:rPr>
          <w:rFonts w:ascii="Times New Roman" w:eastAsia="Times New Roman" w:hAnsi="Times New Roman" w:cs="Times New Roman"/>
          <w:i/>
          <w:iCs/>
          <w:color w:val="000000"/>
          <w:shd w:val="clear" w:color="auto" w:fill="FFFFFF"/>
        </w:rPr>
        <w:t>Epic Sys. Corp. v. Lewis</w:t>
      </w:r>
      <w:r w:rsidRPr="007C436F">
        <w:rPr>
          <w:rFonts w:ascii="Times New Roman" w:eastAsia="Times New Roman" w:hAnsi="Times New Roman" w:cs="Times New Roman"/>
          <w:color w:val="000000"/>
          <w:shd w:val="clear" w:color="auto" w:fill="FFFFFF"/>
        </w:rPr>
        <w:t xml:space="preserve">, 138 S. Ct. 1612, 1629-30 (2018) (Gorsuch, J.) (“No party to these cases has asked us to reconsider </w:t>
      </w:r>
      <w:r w:rsidRPr="007C436F">
        <w:rPr>
          <w:rFonts w:ascii="Times New Roman" w:eastAsia="Times New Roman" w:hAnsi="Times New Roman" w:cs="Times New Roman"/>
          <w:i/>
          <w:color w:val="000000"/>
          <w:shd w:val="clear" w:color="auto" w:fill="FFFFFF"/>
        </w:rPr>
        <w:t>Chevron</w:t>
      </w:r>
      <w:r w:rsidRPr="007C436F">
        <w:rPr>
          <w:rFonts w:ascii="Times New Roman" w:eastAsia="Times New Roman" w:hAnsi="Times New Roman" w:cs="Times New Roman"/>
          <w:color w:val="000000"/>
          <w:shd w:val="clear" w:color="auto" w:fill="FFFFFF"/>
        </w:rPr>
        <w:t xml:space="preserve"> deference. But even under </w:t>
      </w:r>
      <w:r w:rsidRPr="007C436F">
        <w:rPr>
          <w:rFonts w:ascii="Times New Roman" w:eastAsia="Times New Roman" w:hAnsi="Times New Roman" w:cs="Times New Roman"/>
          <w:i/>
          <w:color w:val="000000"/>
          <w:shd w:val="clear" w:color="auto" w:fill="FFFFFF"/>
        </w:rPr>
        <w:t>Chevron</w:t>
      </w:r>
      <w:r w:rsidRPr="007C436F">
        <w:rPr>
          <w:rFonts w:ascii="Times New Roman" w:eastAsia="Times New Roman" w:hAnsi="Times New Roman" w:cs="Times New Roman"/>
          <w:color w:val="000000"/>
          <w:shd w:val="clear" w:color="auto" w:fill="FFFFFF"/>
        </w:rPr>
        <w:t>’s terms, no deference is due.”).</w:t>
      </w:r>
    </w:p>
    <w:p w14:paraId="2FBD21FC" w14:textId="2E53FC36" w:rsidR="00D10AD1" w:rsidRPr="009B237F" w:rsidRDefault="00D10AD1" w:rsidP="00D10AD1">
      <w:pPr>
        <w:numPr>
          <w:ilvl w:val="2"/>
          <w:numId w:val="31"/>
        </w:numPr>
        <w:jc w:val="both"/>
        <w:textAlignment w:val="baseline"/>
        <w:rPr>
          <w:rFonts w:ascii="Times New Roman" w:eastAsia="Times New Roman" w:hAnsi="Times New Roman" w:cs="Times New Roman"/>
          <w:color w:val="212121"/>
        </w:rPr>
      </w:pPr>
      <w:r w:rsidRPr="007C436F">
        <w:rPr>
          <w:rFonts w:ascii="Times New Roman" w:eastAsia="Times New Roman" w:hAnsi="Times New Roman" w:cs="Times New Roman"/>
          <w:i/>
          <w:iCs/>
          <w:color w:val="000000"/>
          <w:shd w:val="clear" w:color="auto" w:fill="FFFFFF"/>
        </w:rPr>
        <w:t>Encino Motorcars, LLC v. Navarro</w:t>
      </w:r>
      <w:r w:rsidRPr="007C436F">
        <w:rPr>
          <w:rFonts w:ascii="Times New Roman" w:eastAsia="Times New Roman" w:hAnsi="Times New Roman" w:cs="Times New Roman"/>
          <w:color w:val="000000"/>
          <w:shd w:val="clear" w:color="auto" w:fill="FFFFFF"/>
        </w:rPr>
        <w:t>, 136 S. Ct. 2117, 2127 (2016) (Kennedy, J.) (“This lack of reasoned explication for a regulation that is inconsistent with the Department</w:t>
      </w:r>
      <w:r w:rsidR="00641C59">
        <w:rPr>
          <w:rFonts w:ascii="Times New Roman" w:eastAsia="Times New Roman" w:hAnsi="Times New Roman" w:cs="Times New Roman"/>
          <w:color w:val="000000"/>
          <w:shd w:val="clear" w:color="auto" w:fill="FFFFFF"/>
        </w:rPr>
        <w:t>’</w:t>
      </w:r>
      <w:r w:rsidRPr="007C436F">
        <w:rPr>
          <w:rFonts w:ascii="Times New Roman" w:eastAsia="Times New Roman" w:hAnsi="Times New Roman" w:cs="Times New Roman"/>
          <w:color w:val="000000"/>
          <w:shd w:val="clear" w:color="auto" w:fill="FFFFFF"/>
        </w:rPr>
        <w:t xml:space="preserve">s longstanding earlier position results in a rule that cannot carry the force of law. It follows that this regulation does not receive </w:t>
      </w:r>
      <w:r w:rsidRPr="007C436F">
        <w:rPr>
          <w:rFonts w:ascii="Times New Roman" w:eastAsia="Times New Roman" w:hAnsi="Times New Roman" w:cs="Times New Roman"/>
          <w:i/>
          <w:color w:val="000000"/>
          <w:shd w:val="clear" w:color="auto" w:fill="FFFFFF"/>
        </w:rPr>
        <w:t>Chevron</w:t>
      </w:r>
      <w:r w:rsidRPr="007C436F">
        <w:rPr>
          <w:rFonts w:ascii="Times New Roman" w:eastAsia="Times New Roman" w:hAnsi="Times New Roman" w:cs="Times New Roman"/>
          <w:color w:val="000000"/>
          <w:shd w:val="clear" w:color="auto" w:fill="FFFFFF"/>
        </w:rPr>
        <w:t xml:space="preserve"> deference in the interpretation of the relevant statute.”) (</w:t>
      </w:r>
      <w:proofErr w:type="gramStart"/>
      <w:r w:rsidRPr="007C436F">
        <w:rPr>
          <w:rFonts w:ascii="Times New Roman" w:eastAsia="Times New Roman" w:hAnsi="Times New Roman" w:cs="Times New Roman"/>
          <w:color w:val="000000"/>
          <w:shd w:val="clear" w:color="auto" w:fill="FFFFFF"/>
        </w:rPr>
        <w:t>internal</w:t>
      </w:r>
      <w:proofErr w:type="gramEnd"/>
      <w:r w:rsidRPr="007C436F">
        <w:rPr>
          <w:rFonts w:ascii="Times New Roman" w:eastAsia="Times New Roman" w:hAnsi="Times New Roman" w:cs="Times New Roman"/>
          <w:color w:val="000000"/>
          <w:shd w:val="clear" w:color="auto" w:fill="FFFFFF"/>
        </w:rPr>
        <w:t xml:space="preserve"> citations omitted).</w:t>
      </w:r>
    </w:p>
    <w:p w14:paraId="0E30F299" w14:textId="77777777" w:rsidR="009659D9" w:rsidRPr="007C436F" w:rsidRDefault="009659D9" w:rsidP="009B237F">
      <w:pPr>
        <w:ind w:left="1800"/>
        <w:jc w:val="both"/>
        <w:textAlignment w:val="baseline"/>
        <w:rPr>
          <w:rFonts w:ascii="Times New Roman" w:eastAsia="Times New Roman" w:hAnsi="Times New Roman" w:cs="Times New Roman"/>
          <w:color w:val="212121"/>
        </w:rPr>
      </w:pPr>
    </w:p>
    <w:p w14:paraId="236B4A92" w14:textId="21761070" w:rsidR="001B4CDD" w:rsidRPr="007C436F" w:rsidRDefault="00B63497" w:rsidP="00A6373A">
      <w:pPr>
        <w:numPr>
          <w:ilvl w:val="1"/>
          <w:numId w:val="31"/>
        </w:numPr>
        <w:jc w:val="both"/>
        <w:textAlignment w:val="baseline"/>
        <w:rPr>
          <w:rFonts w:ascii="Times New Roman" w:eastAsia="Times New Roman" w:hAnsi="Times New Roman" w:cs="Times New Roman"/>
          <w:color w:val="212121"/>
        </w:rPr>
      </w:pPr>
      <w:r w:rsidRPr="007C436F">
        <w:rPr>
          <w:rFonts w:ascii="Times New Roman" w:hAnsi="Times New Roman" w:cs="Times New Roman"/>
        </w:rPr>
        <w:t xml:space="preserve">Michael Kagan, </w:t>
      </w:r>
      <w:r w:rsidR="00A6373A" w:rsidRPr="007C436F">
        <w:rPr>
          <w:rFonts w:ascii="Times New Roman" w:hAnsi="Times New Roman" w:cs="Times New Roman"/>
          <w:i/>
        </w:rPr>
        <w:t>Loud and Soft Anti-</w:t>
      </w:r>
      <w:r w:rsidR="00A6373A" w:rsidRPr="007C436F">
        <w:rPr>
          <w:rFonts w:ascii="Times New Roman" w:hAnsi="Times New Roman" w:cs="Times New Roman"/>
        </w:rPr>
        <w:t>Chevron</w:t>
      </w:r>
      <w:r w:rsidR="00A6373A" w:rsidRPr="007C436F">
        <w:rPr>
          <w:rFonts w:ascii="Times New Roman" w:hAnsi="Times New Roman" w:cs="Times New Roman"/>
          <w:i/>
        </w:rPr>
        <w:t xml:space="preserve"> Decisions</w:t>
      </w:r>
      <w:r w:rsidRPr="007C436F">
        <w:rPr>
          <w:rFonts w:ascii="Times New Roman" w:hAnsi="Times New Roman" w:cs="Times New Roman"/>
        </w:rPr>
        <w:t xml:space="preserve">, 53 </w:t>
      </w:r>
      <w:r w:rsidRPr="00C05436">
        <w:rPr>
          <w:rFonts w:ascii="Times New Roman" w:hAnsi="Times New Roman" w:cs="Times New Roman"/>
          <w:iCs/>
          <w:smallCaps/>
        </w:rPr>
        <w:t>Wake Forest L. Rev.</w:t>
      </w:r>
      <w:r w:rsidRPr="007C436F">
        <w:rPr>
          <w:rFonts w:ascii="Times New Roman" w:hAnsi="Times New Roman" w:cs="Times New Roman"/>
        </w:rPr>
        <w:t xml:space="preserve"> 37 (2018)</w:t>
      </w:r>
      <w:r w:rsidR="003378D0" w:rsidRPr="007C436F">
        <w:rPr>
          <w:rFonts w:ascii="Times New Roman" w:hAnsi="Times New Roman" w:cs="Times New Roman"/>
        </w:rPr>
        <w:t xml:space="preserve">:  </w:t>
      </w:r>
      <w:r w:rsidRPr="007C436F">
        <w:rPr>
          <w:rFonts w:ascii="Times New Roman" w:hAnsi="Times New Roman" w:cs="Times New Roman"/>
        </w:rPr>
        <w:t xml:space="preserve">Article </w:t>
      </w:r>
      <w:r w:rsidR="003378D0" w:rsidRPr="007C436F">
        <w:rPr>
          <w:rFonts w:ascii="Times New Roman" w:hAnsi="Times New Roman" w:cs="Times New Roman"/>
        </w:rPr>
        <w:t>d</w:t>
      </w:r>
      <w:r w:rsidR="00A6373A" w:rsidRPr="007C436F">
        <w:rPr>
          <w:rFonts w:ascii="Times New Roman" w:hAnsi="Times New Roman" w:cs="Times New Roman"/>
        </w:rPr>
        <w:t>iscusses recent</w:t>
      </w:r>
      <w:r w:rsidRPr="007C436F">
        <w:rPr>
          <w:rFonts w:ascii="Times New Roman" w:hAnsi="Times New Roman" w:cs="Times New Roman"/>
        </w:rPr>
        <w:t xml:space="preserve"> Supreme Court</w:t>
      </w:r>
      <w:r w:rsidR="00A6373A" w:rsidRPr="007C436F">
        <w:rPr>
          <w:rFonts w:ascii="Times New Roman" w:hAnsi="Times New Roman" w:cs="Times New Roman"/>
        </w:rPr>
        <w:t xml:space="preserve"> cases that have</w:t>
      </w:r>
      <w:r w:rsidR="00F91EAB">
        <w:rPr>
          <w:rFonts w:ascii="Times New Roman" w:hAnsi="Times New Roman" w:cs="Times New Roman"/>
        </w:rPr>
        <w:t xml:space="preserve"> (1)</w:t>
      </w:r>
      <w:r w:rsidR="00A6373A" w:rsidRPr="007C436F">
        <w:rPr>
          <w:rFonts w:ascii="Times New Roman" w:hAnsi="Times New Roman" w:cs="Times New Roman"/>
        </w:rPr>
        <w:t xml:space="preserve"> expressly rejected the application of </w:t>
      </w:r>
      <w:r w:rsidR="00A6373A" w:rsidRPr="007C436F">
        <w:rPr>
          <w:rFonts w:ascii="Times New Roman" w:hAnsi="Times New Roman" w:cs="Times New Roman"/>
          <w:i/>
        </w:rPr>
        <w:t>Chevron</w:t>
      </w:r>
      <w:r w:rsidR="00A6373A" w:rsidRPr="007C436F">
        <w:rPr>
          <w:rFonts w:ascii="Times New Roman" w:hAnsi="Times New Roman" w:cs="Times New Roman"/>
        </w:rPr>
        <w:t xml:space="preserve"> deference or </w:t>
      </w:r>
      <w:r w:rsidR="00F91EAB">
        <w:rPr>
          <w:rFonts w:ascii="Times New Roman" w:hAnsi="Times New Roman" w:cs="Times New Roman"/>
        </w:rPr>
        <w:t xml:space="preserve">(2) </w:t>
      </w:r>
      <w:r w:rsidR="00A6373A" w:rsidRPr="007C436F">
        <w:rPr>
          <w:rFonts w:ascii="Times New Roman" w:hAnsi="Times New Roman" w:cs="Times New Roman"/>
        </w:rPr>
        <w:t xml:space="preserve">declined to </w:t>
      </w:r>
      <w:r w:rsidR="00F91EAB">
        <w:rPr>
          <w:rFonts w:ascii="Times New Roman" w:hAnsi="Times New Roman" w:cs="Times New Roman"/>
        </w:rPr>
        <w:t>address whether such</w:t>
      </w:r>
      <w:r w:rsidR="00A6373A" w:rsidRPr="007C436F">
        <w:rPr>
          <w:rFonts w:ascii="Times New Roman" w:hAnsi="Times New Roman" w:cs="Times New Roman"/>
        </w:rPr>
        <w:t xml:space="preserve"> deference </w:t>
      </w:r>
      <w:r w:rsidR="00F91EAB">
        <w:rPr>
          <w:rFonts w:ascii="Times New Roman" w:hAnsi="Times New Roman" w:cs="Times New Roman"/>
        </w:rPr>
        <w:t xml:space="preserve">was owed </w:t>
      </w:r>
      <w:r w:rsidR="00A6373A" w:rsidRPr="007C436F">
        <w:rPr>
          <w:rFonts w:ascii="Times New Roman" w:hAnsi="Times New Roman" w:cs="Times New Roman"/>
        </w:rPr>
        <w:t xml:space="preserve">without even mentioning </w:t>
      </w:r>
      <w:r w:rsidR="00A6373A" w:rsidRPr="007C436F">
        <w:rPr>
          <w:rFonts w:ascii="Times New Roman" w:hAnsi="Times New Roman" w:cs="Times New Roman"/>
          <w:i/>
        </w:rPr>
        <w:t>Chevron</w:t>
      </w:r>
      <w:r w:rsidRPr="007C436F">
        <w:rPr>
          <w:rFonts w:ascii="Times New Roman" w:hAnsi="Times New Roman" w:cs="Times New Roman"/>
        </w:rPr>
        <w:t>,</w:t>
      </w:r>
      <w:r w:rsidR="00A6373A" w:rsidRPr="007C436F">
        <w:rPr>
          <w:rFonts w:ascii="Times New Roman" w:hAnsi="Times New Roman" w:cs="Times New Roman"/>
        </w:rPr>
        <w:t xml:space="preserve"> </w:t>
      </w:r>
      <w:r w:rsidR="00F91EAB">
        <w:rPr>
          <w:rFonts w:ascii="Times New Roman" w:hAnsi="Times New Roman" w:cs="Times New Roman"/>
        </w:rPr>
        <w:t>even though</w:t>
      </w:r>
      <w:r w:rsidR="00A6373A" w:rsidRPr="007C436F">
        <w:rPr>
          <w:rFonts w:ascii="Times New Roman" w:hAnsi="Times New Roman" w:cs="Times New Roman"/>
        </w:rPr>
        <w:t xml:space="preserve"> </w:t>
      </w:r>
      <w:r w:rsidR="00A6373A" w:rsidRPr="007C436F">
        <w:rPr>
          <w:rFonts w:ascii="Times New Roman" w:hAnsi="Times New Roman" w:cs="Times New Roman"/>
          <w:i/>
        </w:rPr>
        <w:t>Chevron</w:t>
      </w:r>
      <w:r w:rsidR="00A6373A" w:rsidRPr="007C436F">
        <w:rPr>
          <w:rFonts w:ascii="Times New Roman" w:hAnsi="Times New Roman" w:cs="Times New Roman"/>
        </w:rPr>
        <w:t xml:space="preserve"> arguably </w:t>
      </w:r>
      <w:r w:rsidR="00F91EAB">
        <w:rPr>
          <w:rFonts w:ascii="Times New Roman" w:hAnsi="Times New Roman" w:cs="Times New Roman"/>
        </w:rPr>
        <w:t>applied.</w:t>
      </w:r>
    </w:p>
    <w:sectPr w:rsidR="001B4CDD" w:rsidRPr="007C436F" w:rsidSect="00727E49">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2726A" w14:textId="77777777" w:rsidR="004E7AC4" w:rsidRDefault="004E7AC4" w:rsidP="00BF44A2">
      <w:r>
        <w:separator/>
      </w:r>
    </w:p>
  </w:endnote>
  <w:endnote w:type="continuationSeparator" w:id="0">
    <w:p w14:paraId="6FF7B16F" w14:textId="77777777" w:rsidR="004E7AC4" w:rsidRDefault="004E7AC4" w:rsidP="00BF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F834F" w14:textId="331A5440" w:rsidR="00D30AAE" w:rsidRDefault="00D30AAE" w:rsidP="00C6726E">
    <w:pPr>
      <w:pStyle w:val="Footer"/>
      <w:jc w:val="center"/>
    </w:pPr>
    <w:r w:rsidRPr="00D67705">
      <w:fldChar w:fldCharType="begin"/>
    </w:r>
    <w:r w:rsidRPr="00D67705">
      <w:instrText xml:space="preserve"> PAGE   \* MERGEFORMAT </w:instrText>
    </w:r>
    <w:r w:rsidRPr="00D67705">
      <w:fldChar w:fldCharType="separate"/>
    </w:r>
    <w:r w:rsidR="001445BB">
      <w:rPr>
        <w:noProof/>
      </w:rPr>
      <w:t>6</w:t>
    </w:r>
    <w:r w:rsidRPr="00D67705">
      <w:rPr>
        <w:noProof/>
      </w:rPr>
      <w:fldChar w:fldCharType="end"/>
    </w:r>
  </w:p>
  <w:p w14:paraId="763D22E5" w14:textId="77777777" w:rsidR="00D30AAE" w:rsidRDefault="00D30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855C4" w14:textId="5B46B63F" w:rsidR="00495E6A" w:rsidRDefault="00495E6A" w:rsidP="00C6726E">
    <w:pPr>
      <w:pStyle w:val="Footer"/>
      <w:jc w:val="center"/>
    </w:pPr>
    <w:r w:rsidRPr="00D67705">
      <w:fldChar w:fldCharType="begin"/>
    </w:r>
    <w:r w:rsidRPr="00D67705">
      <w:instrText xml:space="preserve"> PAGE   \* MERGEFORMAT </w:instrText>
    </w:r>
    <w:r w:rsidRPr="00D67705">
      <w:fldChar w:fldCharType="separate"/>
    </w:r>
    <w:r w:rsidR="001445BB">
      <w:rPr>
        <w:noProof/>
      </w:rPr>
      <w:t>1</w:t>
    </w:r>
    <w:r w:rsidRPr="00D67705">
      <w:rPr>
        <w:noProof/>
      </w:rPr>
      <w:fldChar w:fldCharType="end"/>
    </w:r>
  </w:p>
  <w:p w14:paraId="273F1E04" w14:textId="77777777" w:rsidR="00495E6A" w:rsidRDefault="00495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7BC11" w14:textId="77777777" w:rsidR="004E7AC4" w:rsidRDefault="004E7AC4" w:rsidP="00BF44A2">
      <w:r>
        <w:separator/>
      </w:r>
    </w:p>
  </w:footnote>
  <w:footnote w:type="continuationSeparator" w:id="0">
    <w:p w14:paraId="4802DE11" w14:textId="77777777" w:rsidR="004E7AC4" w:rsidRPr="00BF44A2" w:rsidRDefault="004E7AC4" w:rsidP="00BF44A2">
      <w:r>
        <w:separator/>
      </w:r>
    </w:p>
  </w:footnote>
  <w:footnote w:type="continuationNotice" w:id="1">
    <w:p w14:paraId="02A50A7E" w14:textId="77777777" w:rsidR="004E7AC4" w:rsidRDefault="004E7AC4">
      <w:r>
        <w:t>(</w:t>
      </w:r>
      <w:proofErr w:type="gramStart"/>
      <w:r>
        <w:t>continued</w:t>
      </w:r>
      <w:proofErr w:type="gramEnd"/>
      <w:r>
        <w:t>…)</w:t>
      </w:r>
    </w:p>
  </w:footnote>
  <w:footnote w:id="2">
    <w:p w14:paraId="31E8BE59" w14:textId="66FF5E49" w:rsidR="00D10AD1" w:rsidRPr="007C436F" w:rsidRDefault="00D10AD1" w:rsidP="00580BF9">
      <w:pPr>
        <w:pStyle w:val="FootnoteText"/>
        <w:jc w:val="both"/>
        <w:rPr>
          <w:rFonts w:ascii="Times New Roman" w:hAnsi="Times New Roman" w:cs="Times New Roman"/>
        </w:rPr>
      </w:pPr>
      <w:r w:rsidRPr="007C436F">
        <w:rPr>
          <w:rStyle w:val="FootnoteReference"/>
          <w:rFonts w:ascii="Times New Roman" w:hAnsi="Times New Roman" w:cs="Times New Roman"/>
        </w:rPr>
        <w:footnoteRef/>
      </w:r>
      <w:r w:rsidRPr="007C436F">
        <w:rPr>
          <w:rFonts w:ascii="Times New Roman" w:hAnsi="Times New Roman" w:cs="Times New Roman"/>
        </w:rPr>
        <w:t xml:space="preserve"> </w:t>
      </w:r>
      <w:r w:rsidRPr="007C436F">
        <w:rPr>
          <w:rFonts w:ascii="Times New Roman" w:eastAsia="Times New Roman" w:hAnsi="Times New Roman" w:cs="Times New Roman"/>
          <w:color w:val="000000"/>
          <w:shd w:val="clear" w:color="auto" w:fill="FFFFFF"/>
        </w:rPr>
        <w:t xml:space="preserve">Other </w:t>
      </w:r>
      <w:r w:rsidR="00CE0D6D" w:rsidRPr="007C436F">
        <w:rPr>
          <w:rFonts w:ascii="Times New Roman" w:eastAsia="Times New Roman" w:hAnsi="Times New Roman" w:cs="Times New Roman"/>
          <w:color w:val="000000"/>
          <w:shd w:val="clear" w:color="auto" w:fill="FFFFFF"/>
        </w:rPr>
        <w:t xml:space="preserve">recent </w:t>
      </w:r>
      <w:r w:rsidRPr="007C436F">
        <w:rPr>
          <w:rFonts w:ascii="Times New Roman" w:eastAsia="Times New Roman" w:hAnsi="Times New Roman" w:cs="Times New Roman"/>
          <w:color w:val="000000"/>
          <w:shd w:val="clear" w:color="auto" w:fill="FFFFFF"/>
        </w:rPr>
        <w:t xml:space="preserve">decisions finding </w:t>
      </w:r>
      <w:r w:rsidR="00641C59">
        <w:rPr>
          <w:rFonts w:ascii="Times New Roman" w:eastAsia="Times New Roman" w:hAnsi="Times New Roman" w:cs="Times New Roman"/>
          <w:color w:val="000000"/>
          <w:shd w:val="clear" w:color="auto" w:fill="FFFFFF"/>
        </w:rPr>
        <w:t>a</w:t>
      </w:r>
      <w:r w:rsidR="00641C59" w:rsidRPr="007C436F">
        <w:rPr>
          <w:rFonts w:ascii="Times New Roman" w:eastAsia="Times New Roman" w:hAnsi="Times New Roman" w:cs="Times New Roman"/>
          <w:color w:val="000000"/>
          <w:shd w:val="clear" w:color="auto" w:fill="FFFFFF"/>
        </w:rPr>
        <w:t xml:space="preserve"> </w:t>
      </w:r>
      <w:r w:rsidRPr="007C436F">
        <w:rPr>
          <w:rFonts w:ascii="Times New Roman" w:eastAsia="Times New Roman" w:hAnsi="Times New Roman" w:cs="Times New Roman"/>
          <w:color w:val="000000"/>
          <w:shd w:val="clear" w:color="auto" w:fill="FFFFFF"/>
        </w:rPr>
        <w:t xml:space="preserve">statute unambiguous:  </w:t>
      </w:r>
      <w:r w:rsidRPr="007C436F">
        <w:rPr>
          <w:rFonts w:ascii="Times New Roman" w:eastAsia="Times New Roman" w:hAnsi="Times New Roman" w:cs="Times New Roman"/>
          <w:i/>
          <w:iCs/>
          <w:color w:val="000000"/>
          <w:shd w:val="clear" w:color="auto" w:fill="FFFFFF"/>
        </w:rPr>
        <w:t>Wisconsin Cent. Ltd. v. United States</w:t>
      </w:r>
      <w:r w:rsidRPr="007C436F">
        <w:rPr>
          <w:rFonts w:ascii="Times New Roman" w:eastAsia="Times New Roman" w:hAnsi="Times New Roman" w:cs="Times New Roman"/>
          <w:color w:val="000000"/>
          <w:shd w:val="clear" w:color="auto" w:fill="FFFFFF"/>
        </w:rPr>
        <w:t xml:space="preserve">, 138 S. Ct. 2067, 2074 (2018) (Gorsuch, J.); </w:t>
      </w:r>
      <w:r w:rsidRPr="007C436F">
        <w:rPr>
          <w:rFonts w:ascii="Times New Roman" w:eastAsia="Times New Roman" w:hAnsi="Times New Roman" w:cs="Times New Roman"/>
          <w:i/>
          <w:iCs/>
          <w:color w:val="000000"/>
          <w:shd w:val="clear" w:color="auto" w:fill="FFFFFF"/>
        </w:rPr>
        <w:t>Digital Realty Tr., Inc. v. Somers</w:t>
      </w:r>
      <w:r w:rsidRPr="007C436F">
        <w:rPr>
          <w:rFonts w:ascii="Times New Roman" w:eastAsia="Times New Roman" w:hAnsi="Times New Roman" w:cs="Times New Roman"/>
          <w:color w:val="000000"/>
          <w:shd w:val="clear" w:color="auto" w:fill="FFFFFF"/>
        </w:rPr>
        <w:t xml:space="preserve">, 138 S. Ct. 767, 781–82 (2018) (Ginsburg, J.); </w:t>
      </w:r>
      <w:r w:rsidRPr="007C436F">
        <w:rPr>
          <w:rFonts w:ascii="Times New Roman" w:eastAsia="Times New Roman" w:hAnsi="Times New Roman" w:cs="Times New Roman"/>
          <w:i/>
          <w:iCs/>
          <w:color w:val="000000"/>
          <w:shd w:val="clear" w:color="auto" w:fill="FFFFFF"/>
        </w:rPr>
        <w:t>Esquivel-Quintana v. Sessions</w:t>
      </w:r>
      <w:r w:rsidRPr="007C436F">
        <w:rPr>
          <w:rFonts w:ascii="Times New Roman" w:eastAsia="Times New Roman" w:hAnsi="Times New Roman" w:cs="Times New Roman"/>
          <w:color w:val="000000"/>
          <w:shd w:val="clear" w:color="auto" w:fill="FFFFFF"/>
        </w:rPr>
        <w:t>, 137 S. Ct. 1562, 1572 (2017) (Thomas, J.);</w:t>
      </w:r>
      <w:r w:rsidRPr="007C436F">
        <w:rPr>
          <w:rFonts w:ascii="Times New Roman" w:eastAsia="Times New Roman" w:hAnsi="Times New Roman" w:cs="Times New Roman"/>
          <w:i/>
          <w:iCs/>
          <w:color w:val="000000"/>
          <w:shd w:val="clear" w:color="auto" w:fill="FFFFFF"/>
        </w:rPr>
        <w:t xml:space="preserve"> Coventry Health Care of Missouri, Inc. v. </w:t>
      </w:r>
      <w:proofErr w:type="spellStart"/>
      <w:r w:rsidRPr="007C436F">
        <w:rPr>
          <w:rFonts w:ascii="Times New Roman" w:eastAsia="Times New Roman" w:hAnsi="Times New Roman" w:cs="Times New Roman"/>
          <w:i/>
          <w:iCs/>
          <w:color w:val="000000"/>
          <w:shd w:val="clear" w:color="auto" w:fill="FFFFFF"/>
        </w:rPr>
        <w:t>Nevils</w:t>
      </w:r>
      <w:proofErr w:type="spellEnd"/>
      <w:r w:rsidRPr="007C436F">
        <w:rPr>
          <w:rFonts w:ascii="Times New Roman" w:eastAsia="Times New Roman" w:hAnsi="Times New Roman" w:cs="Times New Roman"/>
          <w:color w:val="000000"/>
          <w:shd w:val="clear" w:color="auto" w:fill="FFFFFF"/>
        </w:rPr>
        <w:t>, 137 S. Ct. 1190, 1198 n.3 (2017) (Ginsburg, 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19882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96A11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1C30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D095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6E1D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B624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F22A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ECDC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8C14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C039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A653B"/>
    <w:multiLevelType w:val="hybridMultilevel"/>
    <w:tmpl w:val="5FFCCEC0"/>
    <w:lvl w:ilvl="0" w:tplc="F476E19A">
      <w:start w:val="1"/>
      <w:numFmt w:val="decimal"/>
      <w:pStyle w:val="NumberedParagraphSing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55679B"/>
    <w:multiLevelType w:val="multilevel"/>
    <w:tmpl w:val="E7541A2A"/>
    <w:numStyleLink w:val="ListNumbers"/>
  </w:abstractNum>
  <w:abstractNum w:abstractNumId="12" w15:restartNumberingAfterBreak="0">
    <w:nsid w:val="0A4811F7"/>
    <w:multiLevelType w:val="hybridMultilevel"/>
    <w:tmpl w:val="DF205194"/>
    <w:lvl w:ilvl="0" w:tplc="9C085498">
      <w:start w:val="1"/>
      <w:numFmt w:val="upperLetter"/>
      <w:pStyle w:val="LetteredParagraphSing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960B76"/>
    <w:multiLevelType w:val="hybridMultilevel"/>
    <w:tmpl w:val="DCD2F0EA"/>
    <w:lvl w:ilvl="0" w:tplc="55062CD8">
      <w:start w:val="1"/>
      <w:numFmt w:val="upperLetter"/>
      <w:pStyle w:val="LetteredParagraphDoub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0B5D35"/>
    <w:multiLevelType w:val="hybridMultilevel"/>
    <w:tmpl w:val="2A882D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FF0437"/>
    <w:multiLevelType w:val="multilevel"/>
    <w:tmpl w:val="E7541A2A"/>
    <w:styleLink w:val="ListNumbers"/>
    <w:lvl w:ilvl="0">
      <w:start w:val="1"/>
      <w:numFmt w:val="decimal"/>
      <w:pStyle w:val="ListNumber"/>
      <w:lvlText w:val="%1."/>
      <w:lvlJc w:val="left"/>
      <w:pPr>
        <w:tabs>
          <w:tab w:val="num" w:pos="360"/>
        </w:tabs>
        <w:ind w:left="360" w:hanging="360"/>
      </w:pPr>
      <w:rPr>
        <w:rFonts w:hint="default"/>
      </w:rPr>
    </w:lvl>
    <w:lvl w:ilvl="1">
      <w:start w:val="1"/>
      <w:numFmt w:val="decimal"/>
      <w:pStyle w:val="ListNumber2"/>
      <w:lvlText w:val="%2."/>
      <w:lvlJc w:val="left"/>
      <w:pPr>
        <w:tabs>
          <w:tab w:val="num" w:pos="720"/>
        </w:tabs>
        <w:ind w:left="720" w:hanging="360"/>
      </w:pPr>
      <w:rPr>
        <w:rFonts w:hint="default"/>
      </w:rPr>
    </w:lvl>
    <w:lvl w:ilvl="2">
      <w:start w:val="1"/>
      <w:numFmt w:val="decimal"/>
      <w:pStyle w:val="ListNumber3"/>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decimal"/>
      <w:pStyle w:val="ListNumber5"/>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2E0F3282"/>
    <w:multiLevelType w:val="multilevel"/>
    <w:tmpl w:val="371826C2"/>
    <w:styleLink w:val="CovingtonHeadings"/>
    <w:lvl w:ilvl="0">
      <w:start w:val="1"/>
      <w:numFmt w:val="upperRoman"/>
      <w:pStyle w:val="Heading1"/>
      <w:lvlText w:val="%1."/>
      <w:lvlJc w:val="left"/>
      <w:pPr>
        <w:tabs>
          <w:tab w:val="num" w:pos="720"/>
        </w:tabs>
        <w:ind w:left="720" w:hanging="720"/>
      </w:pPr>
      <w:rPr>
        <w:rFonts w:asciiTheme="majorHAnsi" w:hAnsiTheme="majorHAnsi" w:hint="default"/>
        <w:sz w:val="24"/>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2880"/>
        </w:tabs>
        <w:ind w:left="2880" w:hanging="720"/>
      </w:pPr>
      <w:rPr>
        <w:rFonts w:hint="default"/>
      </w:rPr>
    </w:lvl>
    <w:lvl w:ilvl="4">
      <w:start w:val="1"/>
      <w:numFmt w:val="decimal"/>
      <w:pStyle w:val="Heading5"/>
      <w:lvlText w:val="(%5)"/>
      <w:lvlJc w:val="left"/>
      <w:pPr>
        <w:tabs>
          <w:tab w:val="num" w:pos="3600"/>
        </w:tabs>
        <w:ind w:left="3600" w:hanging="720"/>
      </w:pPr>
      <w:rPr>
        <w:rFonts w:hint="default"/>
      </w:rPr>
    </w:lvl>
    <w:lvl w:ilvl="5">
      <w:start w:val="1"/>
      <w:numFmt w:val="lowerLetter"/>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5040"/>
        </w:tabs>
        <w:ind w:left="5040" w:hanging="720"/>
      </w:pPr>
      <w:rPr>
        <w:rFonts w:hint="default"/>
      </w:rPr>
    </w:lvl>
    <w:lvl w:ilvl="7">
      <w:start w:val="1"/>
      <w:numFmt w:val="lowerLetter"/>
      <w:pStyle w:val="Heading8"/>
      <w:lvlText w:val="(%8)"/>
      <w:lvlJc w:val="left"/>
      <w:pPr>
        <w:tabs>
          <w:tab w:val="num" w:pos="5760"/>
        </w:tabs>
        <w:ind w:left="5760" w:hanging="720"/>
      </w:pPr>
      <w:rPr>
        <w:rFonts w:hint="default"/>
      </w:rPr>
    </w:lvl>
    <w:lvl w:ilvl="8">
      <w:start w:val="1"/>
      <w:numFmt w:val="lowerRoman"/>
      <w:pStyle w:val="Heading9"/>
      <w:lvlText w:val="(%9)"/>
      <w:lvlJc w:val="left"/>
      <w:pPr>
        <w:tabs>
          <w:tab w:val="num" w:pos="6480"/>
        </w:tabs>
        <w:ind w:left="6480" w:hanging="720"/>
      </w:pPr>
      <w:rPr>
        <w:rFonts w:hint="default"/>
      </w:rPr>
    </w:lvl>
  </w:abstractNum>
  <w:abstractNum w:abstractNumId="17" w15:restartNumberingAfterBreak="0">
    <w:nsid w:val="37267B4C"/>
    <w:multiLevelType w:val="hybridMultilevel"/>
    <w:tmpl w:val="585C2AAC"/>
    <w:lvl w:ilvl="0" w:tplc="FC82C2EC">
      <w:start w:val="1"/>
      <w:numFmt w:val="decimal"/>
      <w:pStyle w:val="NumberedParagraphDoub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D0352A"/>
    <w:multiLevelType w:val="multilevel"/>
    <w:tmpl w:val="1C28AD60"/>
    <w:styleLink w:val="ListBullets"/>
    <w:lvl w:ilvl="0">
      <w:start w:val="1"/>
      <w:numFmt w:val="bullet"/>
      <w:pStyle w:val="ListBullet"/>
      <w:lvlText w:val=""/>
      <w:lvlJc w:val="left"/>
      <w:pPr>
        <w:tabs>
          <w:tab w:val="num" w:pos="360"/>
        </w:tabs>
        <w:ind w:left="360" w:hanging="360"/>
      </w:pPr>
      <w:rPr>
        <w:rFonts w:ascii="Symbol" w:hAnsi="Symbol" w:hint="default"/>
        <w:color w:val="auto"/>
      </w:rPr>
    </w:lvl>
    <w:lvl w:ilvl="1">
      <w:start w:val="1"/>
      <w:numFmt w:val="bullet"/>
      <w:pStyle w:val="ListBullet2"/>
      <w:lvlText w:val=""/>
      <w:lvlJc w:val="left"/>
      <w:pPr>
        <w:tabs>
          <w:tab w:val="num" w:pos="720"/>
        </w:tabs>
        <w:ind w:left="720" w:hanging="360"/>
      </w:pPr>
      <w:rPr>
        <w:rFonts w:ascii="Symbol" w:hAnsi="Symbol" w:hint="default"/>
        <w:color w:val="auto"/>
      </w:rPr>
    </w:lvl>
    <w:lvl w:ilvl="2">
      <w:start w:val="1"/>
      <w:numFmt w:val="bullet"/>
      <w:pStyle w:val="ListBullet3"/>
      <w:lvlText w:val=""/>
      <w:lvlJc w:val="left"/>
      <w:pPr>
        <w:tabs>
          <w:tab w:val="num" w:pos="1080"/>
        </w:tabs>
        <w:ind w:left="1080" w:hanging="360"/>
      </w:pPr>
      <w:rPr>
        <w:rFonts w:ascii="Symbol" w:hAnsi="Symbol" w:hint="default"/>
        <w:color w:val="auto"/>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tabs>
          <w:tab w:val="num" w:pos="1800"/>
        </w:tabs>
        <w:ind w:left="1800" w:hanging="360"/>
      </w:pPr>
      <w:rPr>
        <w:rFonts w:ascii="Symbol" w:hAnsi="Symbol" w:hint="default"/>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48302032"/>
    <w:multiLevelType w:val="hybridMultilevel"/>
    <w:tmpl w:val="7E10C52E"/>
    <w:lvl w:ilvl="0" w:tplc="13420E6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15:restartNumberingAfterBreak="0">
    <w:nsid w:val="4EE45648"/>
    <w:multiLevelType w:val="multilevel"/>
    <w:tmpl w:val="944C94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890E9E"/>
    <w:multiLevelType w:val="hybridMultilevel"/>
    <w:tmpl w:val="CE1479F0"/>
    <w:lvl w:ilvl="0" w:tplc="F2008C4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4B5506"/>
    <w:multiLevelType w:val="hybridMultilevel"/>
    <w:tmpl w:val="D2BC248A"/>
    <w:lvl w:ilvl="0" w:tplc="DA382B1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531461"/>
    <w:multiLevelType w:val="multilevel"/>
    <w:tmpl w:val="1C28AD60"/>
    <w:numStyleLink w:val="ListBullets"/>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8"/>
  </w:num>
  <w:num w:numId="23">
    <w:abstractNumId w:val="15"/>
  </w:num>
  <w:num w:numId="24">
    <w:abstractNumId w:val="13"/>
  </w:num>
  <w:num w:numId="25">
    <w:abstractNumId w:val="12"/>
  </w:num>
  <w:num w:numId="26">
    <w:abstractNumId w:val="17"/>
  </w:num>
  <w:num w:numId="27">
    <w:abstractNumId w:val="10"/>
  </w:num>
  <w:num w:numId="28">
    <w:abstractNumId w:val="23"/>
  </w:num>
  <w:num w:numId="29">
    <w:abstractNumId w:val="11"/>
  </w:num>
  <w:num w:numId="30">
    <w:abstractNumId w:val="20"/>
    <w:lvlOverride w:ilvl="0">
      <w:lvl w:ilvl="0">
        <w:numFmt w:val="upperRoman"/>
        <w:lvlText w:val="%1."/>
        <w:lvlJc w:val="right"/>
      </w:lvl>
    </w:lvlOverride>
  </w:num>
  <w:num w:numId="31">
    <w:abstractNumId w:val="20"/>
    <w:lvlOverride w:ilvl="0">
      <w:lvl w:ilvl="0">
        <w:start w:val="1"/>
        <w:numFmt w:val="decimal"/>
        <w:lvlText w:val="%1."/>
        <w:lvlJc w:val="left"/>
        <w:pPr>
          <w:ind w:left="360" w:hanging="360"/>
        </w:pPr>
        <w:rPr>
          <w:sz w:val="28"/>
          <w:szCs w:val="28"/>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2">
    <w:abstractNumId w:val="20"/>
    <w:lvlOverride w:ilvl="0">
      <w:lvl w:ilvl="0">
        <w:numFmt w:val="upperRoman"/>
        <w:lvlText w:val="%1."/>
        <w:lvlJc w:val="right"/>
      </w:lvl>
    </w:lvlOverride>
    <w:lvlOverride w:ilvl="1">
      <w:lvl w:ilvl="1">
        <w:numFmt w:val="upperLetter"/>
        <w:lvlText w:val="%2."/>
        <w:lvlJc w:val="left"/>
      </w:lvl>
    </w:lvlOverride>
  </w:num>
  <w:num w:numId="33">
    <w:abstractNumId w:val="20"/>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34">
    <w:abstractNumId w:val="20"/>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35">
    <w:abstractNumId w:val="20"/>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36">
    <w:abstractNumId w:val="20"/>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37">
    <w:abstractNumId w:val="20"/>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38">
    <w:abstractNumId w:val="20"/>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lvlOverride w:ilvl="5">
      <w:lvl w:ilvl="5">
        <w:numFmt w:val="lowerLetter"/>
        <w:lvlText w:val="%6."/>
        <w:lvlJc w:val="left"/>
      </w:lvl>
    </w:lvlOverride>
  </w:num>
  <w:num w:numId="39">
    <w:abstractNumId w:val="20"/>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lvlOverride w:ilvl="5">
      <w:lvl w:ilvl="5">
        <w:numFmt w:val="lowerLetter"/>
        <w:lvlText w:val="%6."/>
        <w:lvlJc w:val="left"/>
      </w:lvl>
    </w:lvlOverride>
  </w:num>
  <w:num w:numId="40">
    <w:abstractNumId w:val="20"/>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lvlOverride w:ilvl="5">
      <w:lvl w:ilvl="5">
        <w:numFmt w:val="lowerLetter"/>
        <w:lvlText w:val="%6."/>
        <w:lvlJc w:val="left"/>
      </w:lvl>
    </w:lvlOverride>
  </w:num>
  <w:num w:numId="41">
    <w:abstractNumId w:val="20"/>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lvlOverride w:ilvl="5">
      <w:lvl w:ilvl="5">
        <w:numFmt w:val="lowerLetter"/>
        <w:lvlText w:val="%6."/>
        <w:lvlJc w:val="left"/>
      </w:lvl>
    </w:lvlOverride>
  </w:num>
  <w:num w:numId="42">
    <w:abstractNumId w:val="14"/>
  </w:num>
  <w:num w:numId="43">
    <w:abstractNumId w:val="22"/>
  </w:num>
  <w:num w:numId="44">
    <w:abstractNumId w:val="21"/>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91"/>
    <w:rsid w:val="000079E4"/>
    <w:rsid w:val="00030F24"/>
    <w:rsid w:val="000A3C03"/>
    <w:rsid w:val="000A5C39"/>
    <w:rsid w:val="000E72A7"/>
    <w:rsid w:val="001445BB"/>
    <w:rsid w:val="0017199F"/>
    <w:rsid w:val="00175B0E"/>
    <w:rsid w:val="00182ED3"/>
    <w:rsid w:val="00190CD2"/>
    <w:rsid w:val="001A12A3"/>
    <w:rsid w:val="001B364F"/>
    <w:rsid w:val="001B4CDD"/>
    <w:rsid w:val="001B70CB"/>
    <w:rsid w:val="001C5B73"/>
    <w:rsid w:val="001D196C"/>
    <w:rsid w:val="001D7271"/>
    <w:rsid w:val="001E0028"/>
    <w:rsid w:val="00233394"/>
    <w:rsid w:val="00233667"/>
    <w:rsid w:val="00233E7F"/>
    <w:rsid w:val="00245A1C"/>
    <w:rsid w:val="002567A4"/>
    <w:rsid w:val="0026752C"/>
    <w:rsid w:val="0027628C"/>
    <w:rsid w:val="0028556D"/>
    <w:rsid w:val="0028791A"/>
    <w:rsid w:val="002A4F0E"/>
    <w:rsid w:val="00317C01"/>
    <w:rsid w:val="003378D0"/>
    <w:rsid w:val="003B49FC"/>
    <w:rsid w:val="003B6EF3"/>
    <w:rsid w:val="003C1C38"/>
    <w:rsid w:val="003E6F0E"/>
    <w:rsid w:val="004067CC"/>
    <w:rsid w:val="004556ED"/>
    <w:rsid w:val="004757AA"/>
    <w:rsid w:val="00476BDA"/>
    <w:rsid w:val="00477584"/>
    <w:rsid w:val="00495E6A"/>
    <w:rsid w:val="004A1490"/>
    <w:rsid w:val="004C2E4B"/>
    <w:rsid w:val="004C6C9A"/>
    <w:rsid w:val="004D1D89"/>
    <w:rsid w:val="004E7AC4"/>
    <w:rsid w:val="00522B57"/>
    <w:rsid w:val="00545F9C"/>
    <w:rsid w:val="00552648"/>
    <w:rsid w:val="00580BF9"/>
    <w:rsid w:val="00585238"/>
    <w:rsid w:val="00586266"/>
    <w:rsid w:val="005C7246"/>
    <w:rsid w:val="006053F5"/>
    <w:rsid w:val="0060565D"/>
    <w:rsid w:val="006277E0"/>
    <w:rsid w:val="00641C59"/>
    <w:rsid w:val="00693F7A"/>
    <w:rsid w:val="00696796"/>
    <w:rsid w:val="006A11F8"/>
    <w:rsid w:val="006A5EF8"/>
    <w:rsid w:val="006E72C2"/>
    <w:rsid w:val="00727E49"/>
    <w:rsid w:val="00730EF7"/>
    <w:rsid w:val="007710BC"/>
    <w:rsid w:val="00791FC5"/>
    <w:rsid w:val="00792282"/>
    <w:rsid w:val="007936D3"/>
    <w:rsid w:val="007A7997"/>
    <w:rsid w:val="007B6427"/>
    <w:rsid w:val="007C436F"/>
    <w:rsid w:val="007E7389"/>
    <w:rsid w:val="008201FD"/>
    <w:rsid w:val="00822577"/>
    <w:rsid w:val="008362A8"/>
    <w:rsid w:val="00877838"/>
    <w:rsid w:val="008B5EBC"/>
    <w:rsid w:val="008C1E98"/>
    <w:rsid w:val="008C3B49"/>
    <w:rsid w:val="00927DC1"/>
    <w:rsid w:val="009372B7"/>
    <w:rsid w:val="009659D9"/>
    <w:rsid w:val="009760C7"/>
    <w:rsid w:val="00991E72"/>
    <w:rsid w:val="00995ECE"/>
    <w:rsid w:val="009B237F"/>
    <w:rsid w:val="009D6B7C"/>
    <w:rsid w:val="009F54EA"/>
    <w:rsid w:val="00A018BD"/>
    <w:rsid w:val="00A118F9"/>
    <w:rsid w:val="00A1654D"/>
    <w:rsid w:val="00A24EBD"/>
    <w:rsid w:val="00A3705B"/>
    <w:rsid w:val="00A46D2D"/>
    <w:rsid w:val="00A5391C"/>
    <w:rsid w:val="00A6373A"/>
    <w:rsid w:val="00A63E1D"/>
    <w:rsid w:val="00A6599C"/>
    <w:rsid w:val="00A7209C"/>
    <w:rsid w:val="00AA6CF0"/>
    <w:rsid w:val="00AF200B"/>
    <w:rsid w:val="00B160B0"/>
    <w:rsid w:val="00B24309"/>
    <w:rsid w:val="00B53BEF"/>
    <w:rsid w:val="00B63497"/>
    <w:rsid w:val="00B6784C"/>
    <w:rsid w:val="00BA3F32"/>
    <w:rsid w:val="00BC236A"/>
    <w:rsid w:val="00BE09CE"/>
    <w:rsid w:val="00BE24AB"/>
    <w:rsid w:val="00BE6FDC"/>
    <w:rsid w:val="00BF44A2"/>
    <w:rsid w:val="00C05436"/>
    <w:rsid w:val="00C1033A"/>
    <w:rsid w:val="00C119CB"/>
    <w:rsid w:val="00C33EF3"/>
    <w:rsid w:val="00C47D78"/>
    <w:rsid w:val="00C506DE"/>
    <w:rsid w:val="00C51A91"/>
    <w:rsid w:val="00C66891"/>
    <w:rsid w:val="00C840DD"/>
    <w:rsid w:val="00CA0673"/>
    <w:rsid w:val="00CB295B"/>
    <w:rsid w:val="00CC3697"/>
    <w:rsid w:val="00CC750B"/>
    <w:rsid w:val="00CE0D6D"/>
    <w:rsid w:val="00CF0119"/>
    <w:rsid w:val="00D10AD1"/>
    <w:rsid w:val="00D16105"/>
    <w:rsid w:val="00D21DAB"/>
    <w:rsid w:val="00D24FC4"/>
    <w:rsid w:val="00D30AAE"/>
    <w:rsid w:val="00D32A0F"/>
    <w:rsid w:val="00D54352"/>
    <w:rsid w:val="00D56C86"/>
    <w:rsid w:val="00D606D6"/>
    <w:rsid w:val="00D71515"/>
    <w:rsid w:val="00D84E16"/>
    <w:rsid w:val="00D87DCD"/>
    <w:rsid w:val="00D91A0D"/>
    <w:rsid w:val="00E1452F"/>
    <w:rsid w:val="00E221D7"/>
    <w:rsid w:val="00E47607"/>
    <w:rsid w:val="00E603DA"/>
    <w:rsid w:val="00E83FD8"/>
    <w:rsid w:val="00EA2965"/>
    <w:rsid w:val="00EB3F9A"/>
    <w:rsid w:val="00EC3605"/>
    <w:rsid w:val="00ED5D75"/>
    <w:rsid w:val="00EE2C3D"/>
    <w:rsid w:val="00EF2C8E"/>
    <w:rsid w:val="00F438D6"/>
    <w:rsid w:val="00F50D53"/>
    <w:rsid w:val="00F54279"/>
    <w:rsid w:val="00F91EAB"/>
    <w:rsid w:val="00FA25D3"/>
    <w:rsid w:val="00FA2C60"/>
    <w:rsid w:val="00FB1042"/>
    <w:rsid w:val="00FC5C79"/>
    <w:rsid w:val="00FF0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4F0B4"/>
  <w15:chartTrackingRefBased/>
  <w15:docId w15:val="{FCCFBC6E-07A0-41B7-B967-940982C6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9"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5" w:unhideWhenUsed="1" w:qFormat="1"/>
    <w:lsdException w:name="List Bullet" w:uiPriority="6" w:unhideWhenUsed="1" w:qFormat="1"/>
    <w:lsdException w:name="List Number" w:uiPriority="7" w:qFormat="1"/>
    <w:lsdException w:name="List 2" w:uiPriority="5" w:unhideWhenUsed="1" w:qFormat="1"/>
    <w:lsdException w:name="List 3" w:uiPriority="5" w:unhideWhenUsed="1"/>
    <w:lsdException w:name="List 4" w:uiPriority="5"/>
    <w:lsdException w:name="List 5" w:uiPriority="5"/>
    <w:lsdException w:name="List Bullet 2" w:uiPriority="6" w:unhideWhenUsed="1" w:qFormat="1"/>
    <w:lsdException w:name="List Bullet 3" w:uiPriority="6" w:unhideWhenUsed="1"/>
    <w:lsdException w:name="List Bullet 4" w:uiPriority="6" w:unhideWhenUsed="1"/>
    <w:lsdException w:name="List Bullet 5" w:uiPriority="6" w:unhideWhenUsed="1"/>
    <w:lsdException w:name="List Number 2" w:uiPriority="7" w:unhideWhenUsed="1" w:qFormat="1"/>
    <w:lsdException w:name="List Number 3" w:uiPriority="7" w:unhideWhenUsed="1"/>
    <w:lsdException w:name="List Number 4" w:uiPriority="7" w:unhideWhenUsed="1"/>
    <w:lsdException w:name="List Number 5" w:uiPriority="7"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uiPriority="8" w:unhideWhenUsed="1" w:qFormat="1"/>
    <w:lsdException w:name="List Continue 2" w:uiPriority="8" w:unhideWhenUsed="1" w:qFormat="1"/>
    <w:lsdException w:name="List Continue 3" w:uiPriority="8" w:unhideWhenUsed="1"/>
    <w:lsdException w:name="List Continue 4" w:uiPriority="8" w:unhideWhenUsed="1"/>
    <w:lsdException w:name="List Continue 5" w:uiPriority="8"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qFormat/>
    <w:rsid w:val="003B6EF3"/>
  </w:style>
  <w:style w:type="paragraph" w:styleId="Heading1">
    <w:name w:val="heading 1"/>
    <w:basedOn w:val="Normal"/>
    <w:link w:val="Heading1Char"/>
    <w:uiPriority w:val="4"/>
    <w:qFormat/>
    <w:rsid w:val="00A6599C"/>
    <w:pPr>
      <w:numPr>
        <w:numId w:val="21"/>
      </w:numPr>
      <w:spacing w:after="240"/>
      <w:outlineLvl w:val="0"/>
    </w:pPr>
    <w:rPr>
      <w:rFonts w:asciiTheme="majorHAnsi" w:eastAsiaTheme="majorEastAsia" w:hAnsiTheme="majorHAnsi" w:cstheme="majorBidi"/>
      <w:bCs/>
      <w:szCs w:val="28"/>
    </w:rPr>
  </w:style>
  <w:style w:type="paragraph" w:styleId="Heading2">
    <w:name w:val="heading 2"/>
    <w:basedOn w:val="Normal"/>
    <w:link w:val="Heading2Char"/>
    <w:uiPriority w:val="4"/>
    <w:qFormat/>
    <w:rsid w:val="00A6599C"/>
    <w:pPr>
      <w:numPr>
        <w:ilvl w:val="1"/>
        <w:numId w:val="21"/>
      </w:numPr>
      <w:spacing w:after="240"/>
      <w:outlineLvl w:val="1"/>
    </w:pPr>
    <w:rPr>
      <w:rFonts w:asciiTheme="majorHAnsi" w:eastAsiaTheme="majorEastAsia" w:hAnsiTheme="majorHAnsi" w:cstheme="majorBidi"/>
      <w:bCs/>
      <w:szCs w:val="26"/>
    </w:rPr>
  </w:style>
  <w:style w:type="paragraph" w:styleId="Heading3">
    <w:name w:val="heading 3"/>
    <w:basedOn w:val="Normal"/>
    <w:link w:val="Heading3Char"/>
    <w:uiPriority w:val="4"/>
    <w:qFormat/>
    <w:rsid w:val="00A6599C"/>
    <w:pPr>
      <w:numPr>
        <w:ilvl w:val="2"/>
        <w:numId w:val="21"/>
      </w:numPr>
      <w:spacing w:after="240"/>
      <w:outlineLvl w:val="2"/>
    </w:pPr>
    <w:rPr>
      <w:rFonts w:asciiTheme="majorHAnsi" w:eastAsiaTheme="majorEastAsia" w:hAnsiTheme="majorHAnsi" w:cstheme="majorBidi"/>
      <w:bCs/>
    </w:rPr>
  </w:style>
  <w:style w:type="paragraph" w:styleId="Heading4">
    <w:name w:val="heading 4"/>
    <w:basedOn w:val="Normal"/>
    <w:link w:val="Heading4Char"/>
    <w:uiPriority w:val="4"/>
    <w:qFormat/>
    <w:rsid w:val="00A6599C"/>
    <w:pPr>
      <w:numPr>
        <w:ilvl w:val="3"/>
        <w:numId w:val="21"/>
      </w:numPr>
      <w:spacing w:after="240"/>
      <w:outlineLvl w:val="3"/>
    </w:pPr>
    <w:rPr>
      <w:rFonts w:asciiTheme="majorHAnsi" w:eastAsiaTheme="majorEastAsia" w:hAnsiTheme="majorHAnsi" w:cstheme="majorBidi"/>
      <w:bCs/>
      <w:iCs/>
    </w:rPr>
  </w:style>
  <w:style w:type="paragraph" w:styleId="Heading5">
    <w:name w:val="heading 5"/>
    <w:basedOn w:val="Normal"/>
    <w:link w:val="Heading5Char"/>
    <w:uiPriority w:val="4"/>
    <w:qFormat/>
    <w:rsid w:val="00A6599C"/>
    <w:pPr>
      <w:numPr>
        <w:ilvl w:val="4"/>
        <w:numId w:val="21"/>
      </w:numPr>
      <w:spacing w:after="240"/>
      <w:outlineLvl w:val="4"/>
    </w:pPr>
    <w:rPr>
      <w:rFonts w:asciiTheme="majorHAnsi" w:eastAsiaTheme="majorEastAsia" w:hAnsiTheme="majorHAnsi" w:cstheme="majorBidi"/>
    </w:rPr>
  </w:style>
  <w:style w:type="paragraph" w:styleId="Heading6">
    <w:name w:val="heading 6"/>
    <w:basedOn w:val="Normal"/>
    <w:link w:val="Heading6Char"/>
    <w:uiPriority w:val="4"/>
    <w:qFormat/>
    <w:rsid w:val="00A6599C"/>
    <w:pPr>
      <w:numPr>
        <w:ilvl w:val="5"/>
        <w:numId w:val="21"/>
      </w:numPr>
      <w:spacing w:after="240"/>
      <w:outlineLvl w:val="5"/>
    </w:pPr>
    <w:rPr>
      <w:rFonts w:asciiTheme="majorHAnsi" w:eastAsiaTheme="majorEastAsia" w:hAnsiTheme="majorHAnsi" w:cstheme="majorBidi"/>
      <w:iCs/>
    </w:rPr>
  </w:style>
  <w:style w:type="paragraph" w:styleId="Heading7">
    <w:name w:val="heading 7"/>
    <w:basedOn w:val="Normal"/>
    <w:link w:val="Heading7Char"/>
    <w:uiPriority w:val="4"/>
    <w:qFormat/>
    <w:rsid w:val="00A6599C"/>
    <w:pPr>
      <w:numPr>
        <w:ilvl w:val="6"/>
        <w:numId w:val="21"/>
      </w:numPr>
      <w:spacing w:after="240"/>
      <w:outlineLvl w:val="6"/>
    </w:pPr>
    <w:rPr>
      <w:rFonts w:asciiTheme="majorHAnsi" w:eastAsiaTheme="majorEastAsia" w:hAnsiTheme="majorHAnsi" w:cstheme="majorBidi"/>
      <w:iCs/>
    </w:rPr>
  </w:style>
  <w:style w:type="paragraph" w:styleId="Heading8">
    <w:name w:val="heading 8"/>
    <w:basedOn w:val="Normal"/>
    <w:link w:val="Heading8Char"/>
    <w:uiPriority w:val="4"/>
    <w:qFormat/>
    <w:rsid w:val="00A6599C"/>
    <w:pPr>
      <w:numPr>
        <w:ilvl w:val="7"/>
        <w:numId w:val="21"/>
      </w:numPr>
      <w:spacing w:after="240"/>
      <w:outlineLvl w:val="7"/>
    </w:pPr>
    <w:rPr>
      <w:rFonts w:asciiTheme="majorHAnsi" w:eastAsiaTheme="majorEastAsia" w:hAnsiTheme="majorHAnsi" w:cstheme="majorBidi"/>
      <w:szCs w:val="20"/>
    </w:rPr>
  </w:style>
  <w:style w:type="paragraph" w:styleId="Heading9">
    <w:name w:val="heading 9"/>
    <w:basedOn w:val="Normal"/>
    <w:link w:val="Heading9Char"/>
    <w:uiPriority w:val="4"/>
    <w:qFormat/>
    <w:rsid w:val="00A6599C"/>
    <w:pPr>
      <w:numPr>
        <w:ilvl w:val="8"/>
        <w:numId w:val="21"/>
      </w:numPr>
      <w:spacing w:after="24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66891"/>
    <w:pPr>
      <w:spacing w:after="240"/>
    </w:pPr>
  </w:style>
  <w:style w:type="character" w:customStyle="1" w:styleId="BodyTextChar">
    <w:name w:val="Body Text Char"/>
    <w:basedOn w:val="DefaultParagraphFont"/>
    <w:link w:val="BodyText"/>
    <w:rsid w:val="00C66891"/>
  </w:style>
  <w:style w:type="paragraph" w:styleId="BodyText2">
    <w:name w:val="Body Text 2"/>
    <w:basedOn w:val="BodyText"/>
    <w:link w:val="BodyText2Char"/>
    <w:uiPriority w:val="99"/>
    <w:rsid w:val="00C66891"/>
    <w:pPr>
      <w:spacing w:after="0" w:line="480" w:lineRule="auto"/>
    </w:pPr>
  </w:style>
  <w:style w:type="character" w:customStyle="1" w:styleId="BodyText2Char">
    <w:name w:val="Body Text 2 Char"/>
    <w:basedOn w:val="DefaultParagraphFont"/>
    <w:link w:val="BodyText2"/>
    <w:uiPriority w:val="99"/>
    <w:rsid w:val="00C66891"/>
  </w:style>
  <w:style w:type="paragraph" w:styleId="BodyTextFirstIndent">
    <w:name w:val="Body Text First Indent"/>
    <w:basedOn w:val="BodyText"/>
    <w:link w:val="BodyTextFirstIndentChar"/>
    <w:qFormat/>
    <w:rsid w:val="00C66891"/>
    <w:pPr>
      <w:ind w:firstLine="1440"/>
    </w:pPr>
  </w:style>
  <w:style w:type="character" w:customStyle="1" w:styleId="BodyTextFirstIndentChar">
    <w:name w:val="Body Text First Indent Char"/>
    <w:basedOn w:val="BodyTextChar"/>
    <w:link w:val="BodyTextFirstIndent"/>
    <w:rsid w:val="00C66891"/>
  </w:style>
  <w:style w:type="paragraph" w:styleId="BodyTextIndent">
    <w:name w:val="Body Text Indent"/>
    <w:basedOn w:val="BodyText"/>
    <w:link w:val="BodyTextIndentChar"/>
    <w:rsid w:val="00C66891"/>
    <w:pPr>
      <w:ind w:left="1440"/>
    </w:pPr>
  </w:style>
  <w:style w:type="character" w:customStyle="1" w:styleId="BodyTextIndentChar">
    <w:name w:val="Body Text Indent Char"/>
    <w:basedOn w:val="DefaultParagraphFont"/>
    <w:link w:val="BodyTextIndent"/>
    <w:rsid w:val="00C66891"/>
  </w:style>
  <w:style w:type="paragraph" w:styleId="BodyTextFirstIndent2">
    <w:name w:val="Body Text First Indent 2"/>
    <w:basedOn w:val="BodyTextFirstIndent"/>
    <w:link w:val="BodyTextFirstIndent2Char"/>
    <w:rsid w:val="00C66891"/>
    <w:pPr>
      <w:spacing w:after="0" w:line="480" w:lineRule="auto"/>
    </w:pPr>
  </w:style>
  <w:style w:type="character" w:customStyle="1" w:styleId="BodyTextFirstIndent2Char">
    <w:name w:val="Body Text First Indent 2 Char"/>
    <w:basedOn w:val="BodyTextIndentChar"/>
    <w:link w:val="BodyTextFirstIndent2"/>
    <w:rsid w:val="00C66891"/>
  </w:style>
  <w:style w:type="paragraph" w:styleId="BodyTextIndent2">
    <w:name w:val="Body Text Indent 2"/>
    <w:basedOn w:val="BodyTextIndent"/>
    <w:link w:val="BodyTextIndent2Char"/>
    <w:rsid w:val="00C66891"/>
    <w:pPr>
      <w:spacing w:after="0" w:line="480" w:lineRule="auto"/>
    </w:pPr>
  </w:style>
  <w:style w:type="character" w:customStyle="1" w:styleId="BodyTextIndent2Char">
    <w:name w:val="Body Text Indent 2 Char"/>
    <w:basedOn w:val="DefaultParagraphFont"/>
    <w:link w:val="BodyTextIndent2"/>
    <w:rsid w:val="00C66891"/>
  </w:style>
  <w:style w:type="paragraph" w:customStyle="1" w:styleId="BodyTextHalfIndent">
    <w:name w:val="Body Text Half Indent"/>
    <w:basedOn w:val="BodyText"/>
    <w:link w:val="BodyTextHalfIndentChar"/>
    <w:rsid w:val="00C66891"/>
    <w:pPr>
      <w:ind w:left="720"/>
    </w:pPr>
  </w:style>
  <w:style w:type="paragraph" w:customStyle="1" w:styleId="BodyTextHalfIndent2">
    <w:name w:val="Body Text Half Indent 2"/>
    <w:basedOn w:val="BodyTextHalfIndent"/>
    <w:link w:val="BodyTextHalfIndent2Char"/>
    <w:rsid w:val="00C66891"/>
    <w:pPr>
      <w:spacing w:after="0" w:line="480" w:lineRule="auto"/>
    </w:pPr>
  </w:style>
  <w:style w:type="character" w:customStyle="1" w:styleId="BodyTextHalfIndentChar">
    <w:name w:val="Body Text Half Indent Char"/>
    <w:basedOn w:val="BodyTextChar"/>
    <w:link w:val="BodyTextHalfIndent"/>
    <w:rsid w:val="00C66891"/>
  </w:style>
  <w:style w:type="paragraph" w:customStyle="1" w:styleId="BodyTextFirstHalfIndent">
    <w:name w:val="Body Text First Half Indent"/>
    <w:basedOn w:val="BodyText"/>
    <w:link w:val="BodyTextFirstHalfIndentChar"/>
    <w:rsid w:val="00C66891"/>
    <w:pPr>
      <w:ind w:firstLine="720"/>
    </w:pPr>
  </w:style>
  <w:style w:type="character" w:customStyle="1" w:styleId="BodyTextHalfIndent2Char">
    <w:name w:val="Body Text Half Indent 2 Char"/>
    <w:basedOn w:val="BodyTextHalfIndentChar"/>
    <w:link w:val="BodyTextHalfIndent2"/>
    <w:rsid w:val="00C66891"/>
  </w:style>
  <w:style w:type="paragraph" w:customStyle="1" w:styleId="BodyTextFirstHalfIndent2">
    <w:name w:val="Body Text First Half Indent 2"/>
    <w:basedOn w:val="BodyTextFirstHalfIndent"/>
    <w:link w:val="BodyTextFirstHalfIndent2Char"/>
    <w:rsid w:val="00C66891"/>
    <w:pPr>
      <w:spacing w:after="0" w:line="480" w:lineRule="auto"/>
    </w:pPr>
  </w:style>
  <w:style w:type="character" w:customStyle="1" w:styleId="BodyTextFirstHalfIndentChar">
    <w:name w:val="Body Text First Half Indent Char"/>
    <w:basedOn w:val="BodyTextChar"/>
    <w:link w:val="BodyTextFirstHalfIndent"/>
    <w:rsid w:val="00C66891"/>
  </w:style>
  <w:style w:type="paragraph" w:styleId="EnvelopeAddress">
    <w:name w:val="envelope address"/>
    <w:basedOn w:val="Normal"/>
    <w:uiPriority w:val="99"/>
    <w:semiHidden/>
    <w:unhideWhenUsed/>
    <w:rsid w:val="00C66891"/>
    <w:pPr>
      <w:framePr w:w="7920" w:h="1987" w:hRule="exact" w:hSpace="187" w:wrap="around" w:hAnchor="page" w:xAlign="center" w:yAlign="bottom"/>
      <w:ind w:left="2880"/>
    </w:pPr>
    <w:rPr>
      <w:rFonts w:eastAsiaTheme="majorEastAsia" w:cstheme="majorBidi"/>
    </w:rPr>
  </w:style>
  <w:style w:type="character" w:customStyle="1" w:styleId="BodyTextFirstHalfIndent2Char">
    <w:name w:val="Body Text First Half Indent 2 Char"/>
    <w:basedOn w:val="BodyTextFirstHalfIndentChar"/>
    <w:link w:val="BodyTextFirstHalfIndent2"/>
    <w:rsid w:val="00C66891"/>
  </w:style>
  <w:style w:type="paragraph" w:styleId="EnvelopeReturn">
    <w:name w:val="envelope return"/>
    <w:basedOn w:val="Normal"/>
    <w:uiPriority w:val="99"/>
    <w:semiHidden/>
    <w:unhideWhenUsed/>
    <w:rsid w:val="00C66891"/>
    <w:rPr>
      <w:rFonts w:eastAsiaTheme="majorEastAsia" w:cstheme="majorBidi"/>
      <w:sz w:val="20"/>
      <w:szCs w:val="20"/>
    </w:rPr>
  </w:style>
  <w:style w:type="paragraph" w:styleId="Footer">
    <w:name w:val="footer"/>
    <w:basedOn w:val="Normal"/>
    <w:link w:val="FooterChar"/>
    <w:uiPriority w:val="99"/>
    <w:rsid w:val="00C66891"/>
    <w:pPr>
      <w:tabs>
        <w:tab w:val="center" w:pos="4680"/>
        <w:tab w:val="right" w:pos="9360"/>
      </w:tabs>
    </w:pPr>
  </w:style>
  <w:style w:type="character" w:customStyle="1" w:styleId="FooterChar">
    <w:name w:val="Footer Char"/>
    <w:basedOn w:val="DefaultParagraphFont"/>
    <w:link w:val="Footer"/>
    <w:uiPriority w:val="99"/>
    <w:rsid w:val="000A3C03"/>
  </w:style>
  <w:style w:type="paragraph" w:styleId="Header">
    <w:name w:val="header"/>
    <w:basedOn w:val="Normal"/>
    <w:link w:val="HeaderChar"/>
    <w:uiPriority w:val="99"/>
    <w:semiHidden/>
    <w:rsid w:val="00C66891"/>
    <w:pPr>
      <w:tabs>
        <w:tab w:val="center" w:pos="4680"/>
        <w:tab w:val="right" w:pos="9360"/>
      </w:tabs>
    </w:pPr>
  </w:style>
  <w:style w:type="character" w:customStyle="1" w:styleId="HeaderChar">
    <w:name w:val="Header Char"/>
    <w:basedOn w:val="DefaultParagraphFont"/>
    <w:link w:val="Header"/>
    <w:uiPriority w:val="99"/>
    <w:semiHidden/>
    <w:rsid w:val="000A3C03"/>
  </w:style>
  <w:style w:type="paragraph" w:styleId="NormalIndent">
    <w:name w:val="Normal Indent"/>
    <w:basedOn w:val="Normal"/>
    <w:uiPriority w:val="99"/>
    <w:semiHidden/>
    <w:unhideWhenUsed/>
    <w:rsid w:val="00C66891"/>
    <w:pPr>
      <w:ind w:left="1440"/>
    </w:pPr>
  </w:style>
  <w:style w:type="paragraph" w:customStyle="1" w:styleId="NormalHalfIndent">
    <w:name w:val="Normal Half Indent"/>
    <w:basedOn w:val="Normal"/>
    <w:semiHidden/>
    <w:rsid w:val="00C66891"/>
    <w:pPr>
      <w:ind w:left="720"/>
    </w:pPr>
  </w:style>
  <w:style w:type="paragraph" w:styleId="Salutation">
    <w:name w:val="Salutation"/>
    <w:basedOn w:val="Normal"/>
    <w:next w:val="Normal"/>
    <w:link w:val="SalutationChar"/>
    <w:uiPriority w:val="99"/>
    <w:rsid w:val="00B160B0"/>
    <w:pPr>
      <w:spacing w:after="240"/>
    </w:pPr>
  </w:style>
  <w:style w:type="character" w:customStyle="1" w:styleId="SalutationChar">
    <w:name w:val="Salutation Char"/>
    <w:basedOn w:val="DefaultParagraphFont"/>
    <w:link w:val="Salutation"/>
    <w:uiPriority w:val="99"/>
    <w:rsid w:val="00585238"/>
  </w:style>
  <w:style w:type="paragraph" w:styleId="Title">
    <w:name w:val="Title"/>
    <w:basedOn w:val="Normal"/>
    <w:next w:val="Normal"/>
    <w:link w:val="TitleChar"/>
    <w:uiPriority w:val="10"/>
    <w:qFormat/>
    <w:rsid w:val="00A6599C"/>
    <w:pPr>
      <w:spacing w:after="240"/>
      <w:contextualSpacing/>
      <w:jc w:val="center"/>
      <w:outlineLvl w:val="0"/>
    </w:pPr>
    <w:rPr>
      <w:rFonts w:asciiTheme="majorHAnsi" w:eastAsiaTheme="majorEastAsia" w:hAnsiTheme="majorHAnsi" w:cstheme="majorBidi"/>
      <w:b/>
      <w:szCs w:val="52"/>
    </w:rPr>
  </w:style>
  <w:style w:type="character" w:customStyle="1" w:styleId="TitleChar">
    <w:name w:val="Title Char"/>
    <w:basedOn w:val="DefaultParagraphFont"/>
    <w:link w:val="Title"/>
    <w:uiPriority w:val="10"/>
    <w:rsid w:val="00A6599C"/>
    <w:rPr>
      <w:rFonts w:asciiTheme="majorHAnsi" w:eastAsiaTheme="majorEastAsia" w:hAnsiTheme="majorHAnsi" w:cstheme="majorBidi"/>
      <w:b/>
      <w:szCs w:val="52"/>
    </w:rPr>
  </w:style>
  <w:style w:type="paragraph" w:styleId="FootnoteText">
    <w:name w:val="footnote text"/>
    <w:basedOn w:val="Normal"/>
    <w:link w:val="FootnoteTextChar"/>
    <w:uiPriority w:val="99"/>
    <w:semiHidden/>
    <w:unhideWhenUsed/>
    <w:rsid w:val="00C66891"/>
    <w:pPr>
      <w:spacing w:after="120" w:line="260" w:lineRule="exact"/>
    </w:pPr>
    <w:rPr>
      <w:szCs w:val="20"/>
    </w:rPr>
  </w:style>
  <w:style w:type="character" w:customStyle="1" w:styleId="FootnoteTextChar">
    <w:name w:val="Footnote Text Char"/>
    <w:basedOn w:val="DefaultParagraphFont"/>
    <w:link w:val="FootnoteText"/>
    <w:uiPriority w:val="99"/>
    <w:semiHidden/>
    <w:rsid w:val="00C66891"/>
    <w:rPr>
      <w:szCs w:val="20"/>
    </w:rPr>
  </w:style>
  <w:style w:type="character" w:styleId="FootnoteReference">
    <w:name w:val="footnote reference"/>
    <w:basedOn w:val="DefaultParagraphFont"/>
    <w:uiPriority w:val="99"/>
    <w:semiHidden/>
    <w:unhideWhenUsed/>
    <w:rsid w:val="00C66891"/>
    <w:rPr>
      <w:vertAlign w:val="superscript"/>
    </w:rPr>
  </w:style>
  <w:style w:type="paragraph" w:styleId="BlockText">
    <w:name w:val="Block Text"/>
    <w:basedOn w:val="Normal"/>
    <w:link w:val="BlockTextChar"/>
    <w:uiPriority w:val="2"/>
    <w:qFormat/>
    <w:rsid w:val="00C66891"/>
    <w:pPr>
      <w:spacing w:after="240"/>
      <w:ind w:left="1440" w:right="1440"/>
    </w:pPr>
    <w:rPr>
      <w:rFonts w:eastAsiaTheme="minorEastAsia"/>
      <w:iCs/>
    </w:rPr>
  </w:style>
  <w:style w:type="paragraph" w:styleId="EndnoteText">
    <w:name w:val="endnote text"/>
    <w:basedOn w:val="Normal"/>
    <w:link w:val="EndnoteTextChar"/>
    <w:uiPriority w:val="99"/>
    <w:semiHidden/>
    <w:unhideWhenUsed/>
    <w:rsid w:val="00C66891"/>
    <w:rPr>
      <w:szCs w:val="20"/>
    </w:rPr>
  </w:style>
  <w:style w:type="character" w:customStyle="1" w:styleId="EndnoteTextChar">
    <w:name w:val="Endnote Text Char"/>
    <w:basedOn w:val="DefaultParagraphFont"/>
    <w:link w:val="EndnoteText"/>
    <w:uiPriority w:val="99"/>
    <w:semiHidden/>
    <w:rsid w:val="00C66891"/>
    <w:rPr>
      <w:szCs w:val="20"/>
    </w:rPr>
  </w:style>
  <w:style w:type="numbering" w:customStyle="1" w:styleId="CovingtonHeadings">
    <w:name w:val="Covington Headings"/>
    <w:uiPriority w:val="99"/>
    <w:rsid w:val="00C66891"/>
    <w:pPr>
      <w:numPr>
        <w:numId w:val="11"/>
      </w:numPr>
    </w:pPr>
  </w:style>
  <w:style w:type="paragraph" w:styleId="Subtitle">
    <w:name w:val="Subtitle"/>
    <w:basedOn w:val="Normal"/>
    <w:next w:val="Normal"/>
    <w:link w:val="SubtitleChar"/>
    <w:uiPriority w:val="11"/>
    <w:qFormat/>
    <w:rsid w:val="00A6599C"/>
    <w:pPr>
      <w:numPr>
        <w:ilvl w:val="1"/>
      </w:numPr>
      <w:spacing w:after="240"/>
      <w:outlineLvl w:val="1"/>
    </w:pPr>
    <w:rPr>
      <w:rFonts w:asciiTheme="majorHAnsi" w:eastAsiaTheme="majorEastAsia" w:hAnsiTheme="majorHAnsi" w:cstheme="majorBidi"/>
      <w:iCs/>
      <w:u w:val="single"/>
    </w:rPr>
  </w:style>
  <w:style w:type="character" w:customStyle="1" w:styleId="Heading1Char">
    <w:name w:val="Heading 1 Char"/>
    <w:basedOn w:val="DefaultParagraphFont"/>
    <w:link w:val="Heading1"/>
    <w:uiPriority w:val="4"/>
    <w:rsid w:val="00A6599C"/>
    <w:rPr>
      <w:rFonts w:asciiTheme="majorHAnsi" w:eastAsiaTheme="majorEastAsia" w:hAnsiTheme="majorHAnsi" w:cstheme="majorBidi"/>
      <w:bCs/>
      <w:szCs w:val="28"/>
    </w:rPr>
  </w:style>
  <w:style w:type="character" w:customStyle="1" w:styleId="Heading2Char">
    <w:name w:val="Heading 2 Char"/>
    <w:basedOn w:val="DefaultParagraphFont"/>
    <w:link w:val="Heading2"/>
    <w:uiPriority w:val="4"/>
    <w:rsid w:val="00A6599C"/>
    <w:rPr>
      <w:rFonts w:asciiTheme="majorHAnsi" w:eastAsiaTheme="majorEastAsia" w:hAnsiTheme="majorHAnsi" w:cstheme="majorBidi"/>
      <w:bCs/>
      <w:szCs w:val="26"/>
    </w:rPr>
  </w:style>
  <w:style w:type="character" w:customStyle="1" w:styleId="Heading3Char">
    <w:name w:val="Heading 3 Char"/>
    <w:basedOn w:val="DefaultParagraphFont"/>
    <w:link w:val="Heading3"/>
    <w:uiPriority w:val="4"/>
    <w:rsid w:val="00A6599C"/>
    <w:rPr>
      <w:rFonts w:asciiTheme="majorHAnsi" w:eastAsiaTheme="majorEastAsia" w:hAnsiTheme="majorHAnsi" w:cstheme="majorBidi"/>
      <w:bCs/>
    </w:rPr>
  </w:style>
  <w:style w:type="character" w:customStyle="1" w:styleId="Heading4Char">
    <w:name w:val="Heading 4 Char"/>
    <w:basedOn w:val="DefaultParagraphFont"/>
    <w:link w:val="Heading4"/>
    <w:uiPriority w:val="4"/>
    <w:rsid w:val="00A6599C"/>
    <w:rPr>
      <w:rFonts w:asciiTheme="majorHAnsi" w:eastAsiaTheme="majorEastAsia" w:hAnsiTheme="majorHAnsi" w:cstheme="majorBidi"/>
      <w:bCs/>
      <w:iCs/>
    </w:rPr>
  </w:style>
  <w:style w:type="character" w:customStyle="1" w:styleId="Heading5Char">
    <w:name w:val="Heading 5 Char"/>
    <w:basedOn w:val="DefaultParagraphFont"/>
    <w:link w:val="Heading5"/>
    <w:uiPriority w:val="4"/>
    <w:rsid w:val="00A6599C"/>
    <w:rPr>
      <w:rFonts w:asciiTheme="majorHAnsi" w:eastAsiaTheme="majorEastAsia" w:hAnsiTheme="majorHAnsi" w:cstheme="majorBidi"/>
    </w:rPr>
  </w:style>
  <w:style w:type="character" w:customStyle="1" w:styleId="Heading6Char">
    <w:name w:val="Heading 6 Char"/>
    <w:basedOn w:val="DefaultParagraphFont"/>
    <w:link w:val="Heading6"/>
    <w:uiPriority w:val="4"/>
    <w:rsid w:val="00A6599C"/>
    <w:rPr>
      <w:rFonts w:asciiTheme="majorHAnsi" w:eastAsiaTheme="majorEastAsia" w:hAnsiTheme="majorHAnsi" w:cstheme="majorBidi"/>
      <w:iCs/>
    </w:rPr>
  </w:style>
  <w:style w:type="character" w:customStyle="1" w:styleId="Heading7Char">
    <w:name w:val="Heading 7 Char"/>
    <w:basedOn w:val="DefaultParagraphFont"/>
    <w:link w:val="Heading7"/>
    <w:uiPriority w:val="4"/>
    <w:rsid w:val="00A6599C"/>
    <w:rPr>
      <w:rFonts w:asciiTheme="majorHAnsi" w:eastAsiaTheme="majorEastAsia" w:hAnsiTheme="majorHAnsi" w:cstheme="majorBidi"/>
      <w:iCs/>
    </w:rPr>
  </w:style>
  <w:style w:type="character" w:customStyle="1" w:styleId="Heading8Char">
    <w:name w:val="Heading 8 Char"/>
    <w:basedOn w:val="DefaultParagraphFont"/>
    <w:link w:val="Heading8"/>
    <w:uiPriority w:val="4"/>
    <w:rsid w:val="00A6599C"/>
    <w:rPr>
      <w:rFonts w:asciiTheme="majorHAnsi" w:eastAsiaTheme="majorEastAsia" w:hAnsiTheme="majorHAnsi" w:cstheme="majorBidi"/>
      <w:szCs w:val="20"/>
    </w:rPr>
  </w:style>
  <w:style w:type="character" w:customStyle="1" w:styleId="Heading9Char">
    <w:name w:val="Heading 9 Char"/>
    <w:basedOn w:val="DefaultParagraphFont"/>
    <w:link w:val="Heading9"/>
    <w:uiPriority w:val="4"/>
    <w:rsid w:val="00A6599C"/>
    <w:rPr>
      <w:rFonts w:asciiTheme="majorHAnsi" w:eastAsiaTheme="majorEastAsia" w:hAnsiTheme="majorHAnsi" w:cstheme="majorBidi"/>
      <w:iCs/>
      <w:szCs w:val="20"/>
    </w:rPr>
  </w:style>
  <w:style w:type="character" w:customStyle="1" w:styleId="SubtitleChar">
    <w:name w:val="Subtitle Char"/>
    <w:basedOn w:val="DefaultParagraphFont"/>
    <w:link w:val="Subtitle"/>
    <w:uiPriority w:val="11"/>
    <w:rsid w:val="00A6599C"/>
    <w:rPr>
      <w:rFonts w:asciiTheme="majorHAnsi" w:eastAsiaTheme="majorEastAsia" w:hAnsiTheme="majorHAnsi" w:cstheme="majorBidi"/>
      <w:iCs/>
      <w:u w:val="single"/>
    </w:rPr>
  </w:style>
  <w:style w:type="paragraph" w:customStyle="1" w:styleId="SubtitleCentered">
    <w:name w:val="Subtitle Centered"/>
    <w:basedOn w:val="Subtitle"/>
    <w:link w:val="SubtitleCenteredChar"/>
    <w:uiPriority w:val="11"/>
    <w:qFormat/>
    <w:rsid w:val="00A6599C"/>
    <w:pPr>
      <w:jc w:val="center"/>
    </w:pPr>
  </w:style>
  <w:style w:type="numbering" w:customStyle="1" w:styleId="ListBullets">
    <w:name w:val="ListBullets"/>
    <w:uiPriority w:val="99"/>
    <w:rsid w:val="00D71515"/>
    <w:pPr>
      <w:numPr>
        <w:numId w:val="22"/>
      </w:numPr>
    </w:pPr>
  </w:style>
  <w:style w:type="numbering" w:customStyle="1" w:styleId="ListNumbers">
    <w:name w:val="ListNumbers"/>
    <w:uiPriority w:val="99"/>
    <w:rsid w:val="00D71515"/>
    <w:pPr>
      <w:numPr>
        <w:numId w:val="23"/>
      </w:numPr>
    </w:pPr>
  </w:style>
  <w:style w:type="paragraph" w:styleId="ListBullet">
    <w:name w:val="List Bullet"/>
    <w:basedOn w:val="Normal"/>
    <w:uiPriority w:val="6"/>
    <w:qFormat/>
    <w:rsid w:val="00477584"/>
    <w:pPr>
      <w:numPr>
        <w:numId w:val="28"/>
      </w:numPr>
      <w:spacing w:after="240"/>
    </w:pPr>
  </w:style>
  <w:style w:type="paragraph" w:styleId="ListBullet2">
    <w:name w:val="List Bullet 2"/>
    <w:basedOn w:val="Normal"/>
    <w:uiPriority w:val="6"/>
    <w:qFormat/>
    <w:rsid w:val="00477584"/>
    <w:pPr>
      <w:numPr>
        <w:ilvl w:val="1"/>
        <w:numId w:val="28"/>
      </w:numPr>
      <w:spacing w:after="240"/>
    </w:pPr>
  </w:style>
  <w:style w:type="paragraph" w:styleId="ListBullet3">
    <w:name w:val="List Bullet 3"/>
    <w:basedOn w:val="Normal"/>
    <w:uiPriority w:val="6"/>
    <w:rsid w:val="00477584"/>
    <w:pPr>
      <w:numPr>
        <w:ilvl w:val="2"/>
        <w:numId w:val="28"/>
      </w:numPr>
      <w:spacing w:after="240"/>
    </w:pPr>
  </w:style>
  <w:style w:type="paragraph" w:styleId="ListBullet4">
    <w:name w:val="List Bullet 4"/>
    <w:basedOn w:val="Normal"/>
    <w:uiPriority w:val="6"/>
    <w:rsid w:val="00477584"/>
    <w:pPr>
      <w:numPr>
        <w:ilvl w:val="3"/>
        <w:numId w:val="28"/>
      </w:numPr>
      <w:spacing w:after="240"/>
    </w:pPr>
  </w:style>
  <w:style w:type="paragraph" w:styleId="ListBullet5">
    <w:name w:val="List Bullet 5"/>
    <w:basedOn w:val="Normal"/>
    <w:uiPriority w:val="6"/>
    <w:rsid w:val="00477584"/>
    <w:pPr>
      <w:numPr>
        <w:ilvl w:val="4"/>
        <w:numId w:val="28"/>
      </w:numPr>
      <w:spacing w:after="240"/>
    </w:pPr>
  </w:style>
  <w:style w:type="paragraph" w:styleId="List">
    <w:name w:val="List"/>
    <w:basedOn w:val="Normal"/>
    <w:uiPriority w:val="5"/>
    <w:semiHidden/>
    <w:qFormat/>
    <w:rsid w:val="00477584"/>
    <w:pPr>
      <w:spacing w:after="240"/>
      <w:ind w:left="360" w:hanging="360"/>
    </w:pPr>
  </w:style>
  <w:style w:type="paragraph" w:styleId="ListNumber">
    <w:name w:val="List Number"/>
    <w:basedOn w:val="Normal"/>
    <w:uiPriority w:val="7"/>
    <w:qFormat/>
    <w:rsid w:val="00477584"/>
    <w:pPr>
      <w:numPr>
        <w:numId w:val="29"/>
      </w:numPr>
      <w:spacing w:after="240"/>
    </w:pPr>
  </w:style>
  <w:style w:type="paragraph" w:styleId="ListNumber2">
    <w:name w:val="List Number 2"/>
    <w:basedOn w:val="Normal"/>
    <w:uiPriority w:val="7"/>
    <w:qFormat/>
    <w:rsid w:val="00477584"/>
    <w:pPr>
      <w:numPr>
        <w:ilvl w:val="1"/>
        <w:numId w:val="29"/>
      </w:numPr>
      <w:spacing w:after="240"/>
    </w:pPr>
  </w:style>
  <w:style w:type="paragraph" w:styleId="ListNumber3">
    <w:name w:val="List Number 3"/>
    <w:basedOn w:val="Normal"/>
    <w:uiPriority w:val="7"/>
    <w:rsid w:val="00477584"/>
    <w:pPr>
      <w:numPr>
        <w:ilvl w:val="2"/>
        <w:numId w:val="29"/>
      </w:numPr>
      <w:spacing w:after="240"/>
    </w:pPr>
  </w:style>
  <w:style w:type="paragraph" w:styleId="ListNumber4">
    <w:name w:val="List Number 4"/>
    <w:basedOn w:val="Normal"/>
    <w:uiPriority w:val="7"/>
    <w:rsid w:val="00477584"/>
    <w:pPr>
      <w:numPr>
        <w:ilvl w:val="3"/>
        <w:numId w:val="29"/>
      </w:numPr>
      <w:spacing w:after="240"/>
    </w:pPr>
  </w:style>
  <w:style w:type="paragraph" w:styleId="List2">
    <w:name w:val="List 2"/>
    <w:basedOn w:val="Normal"/>
    <w:uiPriority w:val="5"/>
    <w:semiHidden/>
    <w:qFormat/>
    <w:rsid w:val="00477584"/>
    <w:pPr>
      <w:spacing w:after="240"/>
      <w:ind w:left="720" w:hanging="360"/>
    </w:pPr>
  </w:style>
  <w:style w:type="paragraph" w:styleId="List3">
    <w:name w:val="List 3"/>
    <w:basedOn w:val="Normal"/>
    <w:uiPriority w:val="5"/>
    <w:semiHidden/>
    <w:rsid w:val="00477584"/>
    <w:pPr>
      <w:spacing w:after="240"/>
      <w:ind w:left="1080" w:hanging="360"/>
    </w:pPr>
  </w:style>
  <w:style w:type="paragraph" w:styleId="List4">
    <w:name w:val="List 4"/>
    <w:basedOn w:val="Normal"/>
    <w:uiPriority w:val="5"/>
    <w:semiHidden/>
    <w:rsid w:val="00477584"/>
    <w:pPr>
      <w:spacing w:after="240"/>
      <w:ind w:left="1440" w:hanging="360"/>
    </w:pPr>
  </w:style>
  <w:style w:type="paragraph" w:styleId="List5">
    <w:name w:val="List 5"/>
    <w:basedOn w:val="Normal"/>
    <w:uiPriority w:val="5"/>
    <w:semiHidden/>
    <w:rsid w:val="00477584"/>
    <w:pPr>
      <w:spacing w:after="240"/>
      <w:ind w:left="1800" w:hanging="360"/>
    </w:pPr>
  </w:style>
  <w:style w:type="paragraph" w:styleId="ListContinue">
    <w:name w:val="List Continue"/>
    <w:basedOn w:val="Normal"/>
    <w:uiPriority w:val="8"/>
    <w:qFormat/>
    <w:rsid w:val="00477584"/>
    <w:pPr>
      <w:spacing w:after="240"/>
      <w:ind w:left="360"/>
    </w:pPr>
  </w:style>
  <w:style w:type="paragraph" w:styleId="ListContinue2">
    <w:name w:val="List Continue 2"/>
    <w:basedOn w:val="Normal"/>
    <w:uiPriority w:val="8"/>
    <w:qFormat/>
    <w:rsid w:val="00477584"/>
    <w:pPr>
      <w:spacing w:after="240"/>
      <w:ind w:left="720"/>
    </w:pPr>
  </w:style>
  <w:style w:type="paragraph" w:styleId="ListContinue3">
    <w:name w:val="List Continue 3"/>
    <w:basedOn w:val="Normal"/>
    <w:uiPriority w:val="8"/>
    <w:rsid w:val="00477584"/>
    <w:pPr>
      <w:spacing w:after="240"/>
      <w:ind w:left="1080"/>
    </w:pPr>
  </w:style>
  <w:style w:type="paragraph" w:styleId="ListContinue4">
    <w:name w:val="List Continue 4"/>
    <w:basedOn w:val="Normal"/>
    <w:uiPriority w:val="8"/>
    <w:rsid w:val="00477584"/>
    <w:pPr>
      <w:spacing w:after="240"/>
      <w:ind w:left="1440"/>
    </w:pPr>
  </w:style>
  <w:style w:type="paragraph" w:styleId="ListContinue5">
    <w:name w:val="List Continue 5"/>
    <w:basedOn w:val="Normal"/>
    <w:uiPriority w:val="8"/>
    <w:rsid w:val="00477584"/>
    <w:pPr>
      <w:spacing w:after="240"/>
      <w:ind w:left="1800"/>
    </w:pPr>
  </w:style>
  <w:style w:type="paragraph" w:styleId="ListNumber5">
    <w:name w:val="List Number 5"/>
    <w:basedOn w:val="Normal"/>
    <w:uiPriority w:val="7"/>
    <w:rsid w:val="00477584"/>
    <w:pPr>
      <w:numPr>
        <w:ilvl w:val="4"/>
        <w:numId w:val="29"/>
      </w:numPr>
      <w:spacing w:after="240"/>
    </w:pPr>
  </w:style>
  <w:style w:type="character" w:customStyle="1" w:styleId="SubtitleCenteredChar">
    <w:name w:val="Subtitle Centered Char"/>
    <w:basedOn w:val="SubtitleChar"/>
    <w:link w:val="SubtitleCentered"/>
    <w:uiPriority w:val="11"/>
    <w:rsid w:val="00A6599C"/>
    <w:rPr>
      <w:rFonts w:asciiTheme="majorHAnsi" w:eastAsiaTheme="majorEastAsia" w:hAnsiTheme="majorHAnsi" w:cstheme="majorBidi"/>
      <w:iCs/>
      <w:u w:val="single"/>
    </w:rPr>
  </w:style>
  <w:style w:type="character" w:customStyle="1" w:styleId="BlockTextChar">
    <w:name w:val="Block Text Char"/>
    <w:basedOn w:val="DefaultParagraphFont"/>
    <w:link w:val="BlockText"/>
    <w:uiPriority w:val="2"/>
    <w:rsid w:val="007A7997"/>
    <w:rPr>
      <w:rFonts w:eastAsiaTheme="minorEastAsia"/>
      <w:iCs/>
    </w:rPr>
  </w:style>
  <w:style w:type="paragraph" w:customStyle="1" w:styleId="LetteredParagraphDouble">
    <w:name w:val="Lettered Paragraph Double"/>
    <w:basedOn w:val="Normal"/>
    <w:link w:val="LetteredParagraphDoubleChar"/>
    <w:unhideWhenUsed/>
    <w:rsid w:val="000E72A7"/>
    <w:pPr>
      <w:numPr>
        <w:numId w:val="24"/>
      </w:numPr>
      <w:tabs>
        <w:tab w:val="left" w:pos="1800"/>
      </w:tabs>
      <w:spacing w:line="480" w:lineRule="auto"/>
    </w:pPr>
  </w:style>
  <w:style w:type="paragraph" w:customStyle="1" w:styleId="LetteredParagraphSingle">
    <w:name w:val="Lettered Paragraph Single"/>
    <w:basedOn w:val="Normal"/>
    <w:link w:val="LetteredParagraphSingleChar"/>
    <w:unhideWhenUsed/>
    <w:rsid w:val="000E72A7"/>
    <w:pPr>
      <w:numPr>
        <w:numId w:val="25"/>
      </w:numPr>
      <w:tabs>
        <w:tab w:val="left" w:pos="1800"/>
      </w:tabs>
      <w:spacing w:after="240"/>
    </w:pPr>
  </w:style>
  <w:style w:type="character" w:customStyle="1" w:styleId="LetteredParagraphDoubleChar">
    <w:name w:val="Lettered Paragraph Double Char"/>
    <w:basedOn w:val="DefaultParagraphFont"/>
    <w:link w:val="LetteredParagraphDouble"/>
    <w:rsid w:val="000E72A7"/>
  </w:style>
  <w:style w:type="paragraph" w:customStyle="1" w:styleId="NumberedParagraphDouble">
    <w:name w:val="Numbered Paragraph Double"/>
    <w:basedOn w:val="Normal"/>
    <w:link w:val="NumberedParagraphDoubleChar"/>
    <w:rsid w:val="000E72A7"/>
    <w:pPr>
      <w:numPr>
        <w:numId w:val="26"/>
      </w:numPr>
      <w:tabs>
        <w:tab w:val="left" w:pos="720"/>
      </w:tabs>
      <w:spacing w:line="480" w:lineRule="auto"/>
    </w:pPr>
  </w:style>
  <w:style w:type="character" w:customStyle="1" w:styleId="LetteredParagraphSingleChar">
    <w:name w:val="Lettered Paragraph Single Char"/>
    <w:basedOn w:val="DefaultParagraphFont"/>
    <w:link w:val="LetteredParagraphSingle"/>
    <w:rsid w:val="000E72A7"/>
  </w:style>
  <w:style w:type="paragraph" w:customStyle="1" w:styleId="NumberedParagraphSingle">
    <w:name w:val="Numbered Paragraph Single"/>
    <w:basedOn w:val="Normal"/>
    <w:link w:val="NumberedParagraphSingleChar"/>
    <w:rsid w:val="000E72A7"/>
    <w:pPr>
      <w:numPr>
        <w:numId w:val="27"/>
      </w:numPr>
      <w:tabs>
        <w:tab w:val="left" w:pos="1800"/>
      </w:tabs>
      <w:spacing w:after="240"/>
    </w:pPr>
  </w:style>
  <w:style w:type="character" w:customStyle="1" w:styleId="NumberedParagraphDoubleChar">
    <w:name w:val="Numbered Paragraph Double Char"/>
    <w:basedOn w:val="DefaultParagraphFont"/>
    <w:link w:val="NumberedParagraphDouble"/>
    <w:rsid w:val="000E72A7"/>
  </w:style>
  <w:style w:type="paragraph" w:customStyle="1" w:styleId="Re">
    <w:name w:val="Re"/>
    <w:basedOn w:val="Normal"/>
    <w:next w:val="Salutation"/>
    <w:uiPriority w:val="19"/>
    <w:rsid w:val="00B160B0"/>
    <w:pPr>
      <w:tabs>
        <w:tab w:val="left" w:pos="2160"/>
      </w:tabs>
      <w:spacing w:before="240" w:after="240"/>
      <w:ind w:left="2160" w:right="1440" w:hanging="720"/>
      <w:contextualSpacing/>
    </w:pPr>
  </w:style>
  <w:style w:type="character" w:customStyle="1" w:styleId="NumberedParagraphSingleChar">
    <w:name w:val="Numbered Paragraph Single Char"/>
    <w:basedOn w:val="DefaultParagraphFont"/>
    <w:link w:val="NumberedParagraphSingle"/>
    <w:rsid w:val="000E72A7"/>
  </w:style>
  <w:style w:type="paragraph" w:customStyle="1" w:styleId="TableEnd">
    <w:name w:val="Table End"/>
    <w:basedOn w:val="Normal"/>
    <w:uiPriority w:val="19"/>
    <w:rsid w:val="003B49FC"/>
    <w:pPr>
      <w:spacing w:before="60" w:after="180"/>
    </w:pPr>
  </w:style>
  <w:style w:type="paragraph" w:customStyle="1" w:styleId="TableHeading">
    <w:name w:val="Table Heading"/>
    <w:basedOn w:val="Normal"/>
    <w:uiPriority w:val="19"/>
    <w:rsid w:val="003B49FC"/>
    <w:pPr>
      <w:keepNext/>
      <w:spacing w:before="240" w:after="60"/>
      <w:jc w:val="center"/>
    </w:pPr>
    <w:rPr>
      <w:b/>
    </w:rPr>
  </w:style>
  <w:style w:type="paragraph" w:customStyle="1" w:styleId="TableText">
    <w:name w:val="Table Text"/>
    <w:basedOn w:val="Normal"/>
    <w:uiPriority w:val="19"/>
    <w:rsid w:val="003B49FC"/>
    <w:pPr>
      <w:spacing w:before="60" w:after="60"/>
    </w:pPr>
  </w:style>
  <w:style w:type="paragraph" w:styleId="TOCHeading">
    <w:name w:val="TOC Heading"/>
    <w:basedOn w:val="Normal"/>
    <w:next w:val="Normal"/>
    <w:uiPriority w:val="39"/>
    <w:semiHidden/>
    <w:unhideWhenUsed/>
    <w:rsid w:val="001B364F"/>
    <w:pPr>
      <w:spacing w:after="240"/>
      <w:contextualSpacing/>
      <w:jc w:val="center"/>
    </w:pPr>
    <w:rPr>
      <w:b/>
    </w:rPr>
  </w:style>
  <w:style w:type="paragraph" w:styleId="TOC1">
    <w:name w:val="toc 1"/>
    <w:basedOn w:val="Normal"/>
    <w:next w:val="Normal"/>
    <w:uiPriority w:val="39"/>
    <w:semiHidden/>
    <w:rsid w:val="001E0028"/>
    <w:pPr>
      <w:tabs>
        <w:tab w:val="right" w:leader="dot" w:pos="9346"/>
      </w:tabs>
      <w:spacing w:after="240"/>
      <w:ind w:left="720" w:right="720" w:hanging="720"/>
    </w:pPr>
    <w:rPr>
      <w:noProof/>
    </w:rPr>
  </w:style>
  <w:style w:type="paragraph" w:styleId="TOC2">
    <w:name w:val="toc 2"/>
    <w:basedOn w:val="Normal"/>
    <w:next w:val="Normal"/>
    <w:uiPriority w:val="39"/>
    <w:semiHidden/>
    <w:rsid w:val="001E0028"/>
    <w:pPr>
      <w:tabs>
        <w:tab w:val="right" w:leader="dot" w:pos="9346"/>
      </w:tabs>
      <w:spacing w:after="240"/>
      <w:ind w:left="1440" w:right="720" w:hanging="720"/>
    </w:pPr>
    <w:rPr>
      <w:noProof/>
    </w:rPr>
  </w:style>
  <w:style w:type="paragraph" w:styleId="TOC3">
    <w:name w:val="toc 3"/>
    <w:basedOn w:val="Normal"/>
    <w:next w:val="Normal"/>
    <w:uiPriority w:val="39"/>
    <w:semiHidden/>
    <w:rsid w:val="001E0028"/>
    <w:pPr>
      <w:tabs>
        <w:tab w:val="right" w:leader="dot" w:pos="9346"/>
      </w:tabs>
      <w:spacing w:after="240"/>
      <w:ind w:left="2160" w:right="720" w:hanging="720"/>
    </w:pPr>
    <w:rPr>
      <w:noProof/>
    </w:rPr>
  </w:style>
  <w:style w:type="paragraph" w:styleId="TOC4">
    <w:name w:val="toc 4"/>
    <w:basedOn w:val="Normal"/>
    <w:next w:val="Normal"/>
    <w:uiPriority w:val="39"/>
    <w:semiHidden/>
    <w:rsid w:val="001E0028"/>
    <w:pPr>
      <w:tabs>
        <w:tab w:val="right" w:leader="dot" w:pos="9346"/>
      </w:tabs>
      <w:spacing w:after="240"/>
      <w:ind w:left="2880" w:right="720" w:hanging="720"/>
    </w:pPr>
    <w:rPr>
      <w:noProof/>
    </w:rPr>
  </w:style>
  <w:style w:type="paragraph" w:styleId="TOC5">
    <w:name w:val="toc 5"/>
    <w:basedOn w:val="Normal"/>
    <w:next w:val="Normal"/>
    <w:uiPriority w:val="39"/>
    <w:semiHidden/>
    <w:rsid w:val="001E0028"/>
    <w:pPr>
      <w:tabs>
        <w:tab w:val="right" w:leader="dot" w:pos="9346"/>
      </w:tabs>
      <w:spacing w:after="240"/>
      <w:ind w:left="3600" w:right="720" w:hanging="720"/>
    </w:pPr>
    <w:rPr>
      <w:noProof/>
    </w:rPr>
  </w:style>
  <w:style w:type="paragraph" w:styleId="TOC6">
    <w:name w:val="toc 6"/>
    <w:basedOn w:val="Normal"/>
    <w:next w:val="Normal"/>
    <w:uiPriority w:val="39"/>
    <w:semiHidden/>
    <w:rsid w:val="001E0028"/>
    <w:pPr>
      <w:tabs>
        <w:tab w:val="right" w:leader="dot" w:pos="9346"/>
      </w:tabs>
      <w:spacing w:after="240"/>
      <w:ind w:left="4320" w:right="720" w:hanging="720"/>
    </w:pPr>
    <w:rPr>
      <w:noProof/>
    </w:rPr>
  </w:style>
  <w:style w:type="paragraph" w:styleId="TOC7">
    <w:name w:val="toc 7"/>
    <w:basedOn w:val="Normal"/>
    <w:next w:val="Normal"/>
    <w:uiPriority w:val="39"/>
    <w:semiHidden/>
    <w:rsid w:val="001E0028"/>
    <w:pPr>
      <w:tabs>
        <w:tab w:val="right" w:leader="dot" w:pos="9346"/>
      </w:tabs>
      <w:spacing w:after="240"/>
      <w:ind w:left="5040" w:right="720" w:hanging="720"/>
    </w:pPr>
    <w:rPr>
      <w:noProof/>
    </w:rPr>
  </w:style>
  <w:style w:type="paragraph" w:styleId="TOC8">
    <w:name w:val="toc 8"/>
    <w:basedOn w:val="Normal"/>
    <w:next w:val="Normal"/>
    <w:uiPriority w:val="39"/>
    <w:semiHidden/>
    <w:rsid w:val="001E0028"/>
    <w:pPr>
      <w:tabs>
        <w:tab w:val="right" w:leader="dot" w:pos="9346"/>
      </w:tabs>
      <w:spacing w:after="240"/>
      <w:ind w:left="5760" w:right="720" w:hanging="720"/>
    </w:pPr>
    <w:rPr>
      <w:noProof/>
    </w:rPr>
  </w:style>
  <w:style w:type="paragraph" w:styleId="TOC9">
    <w:name w:val="toc 9"/>
    <w:basedOn w:val="Normal"/>
    <w:next w:val="Normal"/>
    <w:uiPriority w:val="39"/>
    <w:semiHidden/>
    <w:rsid w:val="008201FD"/>
    <w:pPr>
      <w:tabs>
        <w:tab w:val="right" w:leader="dot" w:pos="9346"/>
      </w:tabs>
      <w:spacing w:after="240"/>
      <w:ind w:left="6480" w:right="720" w:hanging="720"/>
    </w:pPr>
    <w:rPr>
      <w:noProof/>
    </w:rPr>
  </w:style>
  <w:style w:type="paragraph" w:styleId="ListParagraph">
    <w:name w:val="List Paragraph"/>
    <w:basedOn w:val="Normal"/>
    <w:uiPriority w:val="34"/>
    <w:qFormat/>
    <w:rsid w:val="002567A4"/>
    <w:pPr>
      <w:ind w:left="720"/>
      <w:contextualSpacing/>
    </w:pPr>
  </w:style>
  <w:style w:type="character" w:styleId="Hyperlink">
    <w:name w:val="Hyperlink"/>
    <w:basedOn w:val="DefaultParagraphFont"/>
    <w:uiPriority w:val="99"/>
    <w:unhideWhenUsed/>
    <w:rsid w:val="00BE6FDC"/>
    <w:rPr>
      <w:color w:val="0000FF" w:themeColor="hyperlink"/>
      <w:u w:val="single"/>
    </w:rPr>
  </w:style>
  <w:style w:type="character" w:styleId="CommentReference">
    <w:name w:val="annotation reference"/>
    <w:basedOn w:val="DefaultParagraphFont"/>
    <w:uiPriority w:val="99"/>
    <w:semiHidden/>
    <w:unhideWhenUsed/>
    <w:rsid w:val="00495E6A"/>
    <w:rPr>
      <w:sz w:val="16"/>
      <w:szCs w:val="16"/>
    </w:rPr>
  </w:style>
  <w:style w:type="paragraph" w:styleId="CommentText">
    <w:name w:val="annotation text"/>
    <w:basedOn w:val="Normal"/>
    <w:link w:val="CommentTextChar"/>
    <w:uiPriority w:val="99"/>
    <w:semiHidden/>
    <w:unhideWhenUsed/>
    <w:rsid w:val="00495E6A"/>
    <w:rPr>
      <w:sz w:val="20"/>
      <w:szCs w:val="20"/>
    </w:rPr>
  </w:style>
  <w:style w:type="character" w:customStyle="1" w:styleId="CommentTextChar">
    <w:name w:val="Comment Text Char"/>
    <w:basedOn w:val="DefaultParagraphFont"/>
    <w:link w:val="CommentText"/>
    <w:uiPriority w:val="99"/>
    <w:semiHidden/>
    <w:rsid w:val="00495E6A"/>
    <w:rPr>
      <w:sz w:val="20"/>
      <w:szCs w:val="20"/>
    </w:rPr>
  </w:style>
  <w:style w:type="paragraph" w:styleId="CommentSubject">
    <w:name w:val="annotation subject"/>
    <w:basedOn w:val="CommentText"/>
    <w:next w:val="CommentText"/>
    <w:link w:val="CommentSubjectChar"/>
    <w:uiPriority w:val="99"/>
    <w:semiHidden/>
    <w:unhideWhenUsed/>
    <w:rsid w:val="00495E6A"/>
    <w:rPr>
      <w:b/>
      <w:bCs/>
    </w:rPr>
  </w:style>
  <w:style w:type="character" w:customStyle="1" w:styleId="CommentSubjectChar">
    <w:name w:val="Comment Subject Char"/>
    <w:basedOn w:val="CommentTextChar"/>
    <w:link w:val="CommentSubject"/>
    <w:uiPriority w:val="99"/>
    <w:semiHidden/>
    <w:rsid w:val="00495E6A"/>
    <w:rPr>
      <w:b/>
      <w:bCs/>
      <w:sz w:val="20"/>
      <w:szCs w:val="20"/>
    </w:rPr>
  </w:style>
  <w:style w:type="paragraph" w:styleId="BalloonText">
    <w:name w:val="Balloon Text"/>
    <w:basedOn w:val="Normal"/>
    <w:link w:val="BalloonTextChar"/>
    <w:uiPriority w:val="99"/>
    <w:semiHidden/>
    <w:unhideWhenUsed/>
    <w:rsid w:val="00495E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E6A"/>
    <w:rPr>
      <w:rFonts w:ascii="Segoe UI" w:hAnsi="Segoe UI" w:cs="Segoe UI"/>
      <w:sz w:val="18"/>
      <w:szCs w:val="18"/>
    </w:rPr>
  </w:style>
  <w:style w:type="paragraph" w:customStyle="1" w:styleId="gmail-western">
    <w:name w:val="gmail-western"/>
    <w:basedOn w:val="Normal"/>
    <w:rsid w:val="00927DC1"/>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927DC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90070">
      <w:bodyDiv w:val="1"/>
      <w:marLeft w:val="0"/>
      <w:marRight w:val="0"/>
      <w:marTop w:val="0"/>
      <w:marBottom w:val="0"/>
      <w:divBdr>
        <w:top w:val="none" w:sz="0" w:space="0" w:color="auto"/>
        <w:left w:val="none" w:sz="0" w:space="0" w:color="auto"/>
        <w:bottom w:val="none" w:sz="0" w:space="0" w:color="auto"/>
        <w:right w:val="none" w:sz="0" w:space="0" w:color="auto"/>
      </w:divBdr>
    </w:div>
    <w:div w:id="233660823">
      <w:bodyDiv w:val="1"/>
      <w:marLeft w:val="0"/>
      <w:marRight w:val="0"/>
      <w:marTop w:val="0"/>
      <w:marBottom w:val="0"/>
      <w:divBdr>
        <w:top w:val="none" w:sz="0" w:space="0" w:color="auto"/>
        <w:left w:val="none" w:sz="0" w:space="0" w:color="auto"/>
        <w:bottom w:val="none" w:sz="0" w:space="0" w:color="auto"/>
        <w:right w:val="none" w:sz="0" w:space="0" w:color="auto"/>
      </w:divBdr>
    </w:div>
    <w:div w:id="518662887">
      <w:bodyDiv w:val="1"/>
      <w:marLeft w:val="0"/>
      <w:marRight w:val="0"/>
      <w:marTop w:val="0"/>
      <w:marBottom w:val="0"/>
      <w:divBdr>
        <w:top w:val="none" w:sz="0" w:space="0" w:color="auto"/>
        <w:left w:val="none" w:sz="0" w:space="0" w:color="auto"/>
        <w:bottom w:val="none" w:sz="0" w:space="0" w:color="auto"/>
        <w:right w:val="none" w:sz="0" w:space="0" w:color="auto"/>
      </w:divBdr>
    </w:div>
    <w:div w:id="637685275">
      <w:bodyDiv w:val="1"/>
      <w:marLeft w:val="0"/>
      <w:marRight w:val="0"/>
      <w:marTop w:val="0"/>
      <w:marBottom w:val="0"/>
      <w:divBdr>
        <w:top w:val="none" w:sz="0" w:space="0" w:color="auto"/>
        <w:left w:val="none" w:sz="0" w:space="0" w:color="auto"/>
        <w:bottom w:val="none" w:sz="0" w:space="0" w:color="auto"/>
        <w:right w:val="none" w:sz="0" w:space="0" w:color="auto"/>
      </w:divBdr>
    </w:div>
    <w:div w:id="1117602239">
      <w:bodyDiv w:val="1"/>
      <w:marLeft w:val="0"/>
      <w:marRight w:val="0"/>
      <w:marTop w:val="0"/>
      <w:marBottom w:val="0"/>
      <w:divBdr>
        <w:top w:val="none" w:sz="0" w:space="0" w:color="auto"/>
        <w:left w:val="none" w:sz="0" w:space="0" w:color="auto"/>
        <w:bottom w:val="none" w:sz="0" w:space="0" w:color="auto"/>
        <w:right w:val="none" w:sz="0" w:space="0" w:color="auto"/>
      </w:divBdr>
    </w:div>
    <w:div w:id="1425571313">
      <w:bodyDiv w:val="1"/>
      <w:marLeft w:val="0"/>
      <w:marRight w:val="0"/>
      <w:marTop w:val="0"/>
      <w:marBottom w:val="0"/>
      <w:divBdr>
        <w:top w:val="none" w:sz="0" w:space="0" w:color="auto"/>
        <w:left w:val="none" w:sz="0" w:space="0" w:color="auto"/>
        <w:bottom w:val="none" w:sz="0" w:space="0" w:color="auto"/>
        <w:right w:val="none" w:sz="0" w:space="0" w:color="auto"/>
      </w:divBdr>
    </w:div>
    <w:div w:id="1550872560">
      <w:bodyDiv w:val="1"/>
      <w:marLeft w:val="0"/>
      <w:marRight w:val="0"/>
      <w:marTop w:val="0"/>
      <w:marBottom w:val="0"/>
      <w:divBdr>
        <w:top w:val="none" w:sz="0" w:space="0" w:color="auto"/>
        <w:left w:val="none" w:sz="0" w:space="0" w:color="auto"/>
        <w:bottom w:val="none" w:sz="0" w:space="0" w:color="auto"/>
        <w:right w:val="none" w:sz="0" w:space="0" w:color="auto"/>
      </w:divBdr>
    </w:div>
    <w:div w:id="194545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TargetMode="External" Target="https://en.wikipedia.org/wiki/United_States_Reports" Type="http://schemas.openxmlformats.org/officeDocument/2006/relationships/hyperlink" Id="rId8"></Relationship><Relationship Target="settings.xml" Type="http://schemas.openxmlformats.org/officeDocument/2006/relationships/settings" Id="rId3"></Relationship><Relationship TargetMode="External" Target="https://scholarship.law.nd.edu/cgi/viewcontent.cgi?article=4733&amp;context=ndlr" Type="http://schemas.openxmlformats.org/officeDocument/2006/relationships/hyperlink" Id="rId7"></Relationship><Relationship Target="theme/theme1.xml" Type="http://schemas.openxmlformats.org/officeDocument/2006/relationships/theme" Id="rId12"></Relationship><Relationship Target="styles.xml" Type="http://schemas.openxmlformats.org/officeDocument/2006/relationships/styles" Id="rId2"></Relationship><Relationship Target="numbering.xml" Type="http://schemas.openxmlformats.org/officeDocument/2006/relationships/numbering" Id="rId1"></Relationship><Relationship Target="endnotes.xml" Type="http://schemas.openxmlformats.org/officeDocument/2006/relationships/endnotes" Id="rId6"></Relationship><Relationship Target="fontTable.xml" Type="http://schemas.openxmlformats.org/officeDocument/2006/relationships/fontTable" Id="rId11"></Relationship><Relationship Target="footnotes.xml" Type="http://schemas.openxmlformats.org/officeDocument/2006/relationships/footnotes" Id="rId5"></Relationship><Relationship Target="footer2.xml" Type="http://schemas.openxmlformats.org/officeDocument/2006/relationships/footer" Id="rId10"></Relationship><Relationship Target="webSettings.xml" Type="http://schemas.openxmlformats.org/officeDocument/2006/relationships/webSettings" Id="rId4"></Relationship><Relationship Target="footer1.xml" Type="http://schemas.openxmlformats.org/officeDocument/2006/relationships/footer" Id="rId9"></Relationship></Relationships>
</file>

<file path=word/theme/theme1.xml><?xml version="1.0" encoding="utf-8"?>
<a:theme xmlns:a="http://schemas.openxmlformats.org/drawingml/2006/main" name="Office Theme">
  <a:themeElements>
    <a:clrScheme name="Black Text">
      <a:dk1>
        <a:srgbClr val="000000"/>
      </a:dk1>
      <a:lt1>
        <a:srgbClr val="FFFFFF"/>
      </a:lt1>
      <a:dk2>
        <a:srgbClr val="003366"/>
      </a:dk2>
      <a:lt2>
        <a:srgbClr val="EEECE1"/>
      </a:lt2>
      <a:accent1>
        <a:srgbClr val="000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vington]">
      <a:majorFont>
        <a:latin typeface="Times New Roman"/>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imes New Roman"/>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lumMod val="60000"/>
            <a:lumOff val="40000"/>
          </a:schemeClr>
        </a:solidFill>
        <a:ln>
          <a:solidFill>
            <a:schemeClr val="tx2">
              <a:lumMod val="60000"/>
              <a:lumOff val="40000"/>
            </a:schemeClr>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
  <TitlesOfParts>
    <vt:vector size="1" baseType="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coreProperties>
</file>

<file path=docProps/custom.xml><?xml version="1.0" encoding="utf-8"?>
<Properties xmlns="http://schemas.openxmlformats.org/officeDocument/2006/custom-properties" xmlns:vt="http://schemas.openxmlformats.org/officeDocument/2006/docPropsVTypes"/>
</file>