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0.0.0 -->
  <w:body>
    <w:p w:rsidR="00E04560" w:rsidP="006A1FA2">
      <w:pPr>
        <w:spacing w:after="0"/>
        <w:jc w:val="center"/>
        <w:rPr>
          <w:b/>
          <w:sz w:val="34"/>
          <w:szCs w:val="34"/>
          <w:u w:val="single"/>
        </w:rPr>
      </w:pPr>
      <w:bookmarkStart w:id="0" w:name="_GoBack"/>
      <w:bookmarkEnd w:id="0"/>
    </w:p>
    <w:p w:rsidR="004E493A" w:rsidP="006A1FA2">
      <w:pPr>
        <w:spacing w:after="0"/>
        <w:jc w:val="center"/>
        <w:rPr>
          <w:b/>
          <w:sz w:val="32"/>
          <w:szCs w:val="32"/>
          <w:u w:val="single"/>
        </w:rPr>
      </w:pPr>
      <w:r w:rsidRPr="003E0B9A">
        <w:rPr>
          <w:b/>
          <w:sz w:val="32"/>
          <w:szCs w:val="32"/>
          <w:u w:val="single"/>
        </w:rPr>
        <w:t xml:space="preserve">Mediated Settlements and the Impact of Rule 9019 Requirements </w:t>
      </w:r>
    </w:p>
    <w:p w:rsidR="003E0B9A" w:rsidRPr="003E0B9A" w:rsidP="006A1FA2">
      <w:pPr>
        <w:spacing w:after="0"/>
        <w:jc w:val="center"/>
        <w:rPr>
          <w:b/>
          <w:sz w:val="32"/>
          <w:szCs w:val="32"/>
          <w:u w:val="single"/>
        </w:rPr>
      </w:pPr>
    </w:p>
    <w:p w:rsidR="00AA686B" w:rsidRPr="003E0B9A" w:rsidP="006A1FA2">
      <w:pPr>
        <w:spacing w:after="0"/>
        <w:jc w:val="right"/>
        <w:rPr>
          <w:sz w:val="28"/>
          <w:szCs w:val="28"/>
        </w:rPr>
      </w:pPr>
      <w:r w:rsidRPr="003E0B9A">
        <w:rPr>
          <w:sz w:val="28"/>
          <w:szCs w:val="28"/>
        </w:rPr>
        <w:t>Moller /</w:t>
      </w:r>
      <w:r w:rsidRPr="003E0B9A" w:rsidR="00CE0A93">
        <w:rPr>
          <w:sz w:val="28"/>
          <w:szCs w:val="28"/>
        </w:rPr>
        <w:t xml:space="preserve"> </w:t>
      </w:r>
      <w:r w:rsidRPr="003E0B9A">
        <w:rPr>
          <w:sz w:val="28"/>
          <w:szCs w:val="28"/>
        </w:rPr>
        <w:t xml:space="preserve">Foltz American </w:t>
      </w:r>
      <w:r w:rsidRPr="003E0B9A" w:rsidR="00EB38DB">
        <w:rPr>
          <w:sz w:val="28"/>
          <w:szCs w:val="28"/>
        </w:rPr>
        <w:t>Inn of Court Presentation—Team 5</w:t>
      </w:r>
    </w:p>
    <w:p w:rsidR="00AE696A" w:rsidRPr="003E0B9A" w:rsidP="003E0B9A">
      <w:pPr>
        <w:spacing w:after="0"/>
        <w:jc w:val="right"/>
        <w:rPr>
          <w:sz w:val="28"/>
          <w:szCs w:val="28"/>
        </w:rPr>
      </w:pPr>
      <w:r w:rsidRPr="003E0B9A">
        <w:rPr>
          <w:sz w:val="28"/>
          <w:szCs w:val="28"/>
        </w:rPr>
        <w:t xml:space="preserve">Tuesday, </w:t>
      </w:r>
      <w:r w:rsidRPr="003E0B9A" w:rsidR="004E493A">
        <w:rPr>
          <w:sz w:val="28"/>
          <w:szCs w:val="28"/>
        </w:rPr>
        <w:t>April 25, 2017</w:t>
      </w:r>
    </w:p>
    <w:p w:rsidR="003E0B9A" w:rsidRPr="003E0B9A" w:rsidP="003E0B9A">
      <w:pPr>
        <w:spacing w:after="0"/>
        <w:jc w:val="right"/>
        <w:rPr>
          <w:sz w:val="28"/>
          <w:szCs w:val="28"/>
        </w:rPr>
      </w:pPr>
    </w:p>
    <w:p w:rsidR="003E0B9A" w:rsidRPr="003E0B9A" w:rsidP="003E0B9A">
      <w:pPr>
        <w:widowControl w:val="0"/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  <w:r w:rsidRPr="003E0B9A">
        <w:rPr>
          <w:rFonts w:cstheme="minorHAnsi"/>
          <w:sz w:val="28"/>
          <w:szCs w:val="28"/>
        </w:rPr>
        <w:t>Matt Prob</w:t>
      </w:r>
      <w:r w:rsidRPr="003E0B9A" w:rsidR="00EB38DB">
        <w:rPr>
          <w:rFonts w:cstheme="minorHAnsi"/>
          <w:sz w:val="28"/>
          <w:szCs w:val="28"/>
        </w:rPr>
        <w:t>us</w:t>
      </w:r>
    </w:p>
    <w:p w:rsidR="00EB38DB" w:rsidRPr="003E0B9A" w:rsidP="003E0B9A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sz w:val="28"/>
          <w:szCs w:val="28"/>
        </w:rPr>
      </w:pPr>
      <w:r w:rsidRPr="003E0B9A">
        <w:rPr>
          <w:rFonts w:cstheme="minorHAnsi"/>
          <w:sz w:val="28"/>
          <w:szCs w:val="28"/>
        </w:rPr>
        <w:t>June Mann</w:t>
      </w:r>
    </w:p>
    <w:p w:rsidR="003E0B9A" w:rsidRPr="003E0B9A" w:rsidP="003E0B9A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sz w:val="28"/>
          <w:szCs w:val="28"/>
        </w:rPr>
      </w:pPr>
      <w:r w:rsidRPr="003E0B9A">
        <w:rPr>
          <w:rFonts w:cstheme="minorHAnsi"/>
          <w:sz w:val="28"/>
          <w:szCs w:val="28"/>
        </w:rPr>
        <w:t>Carl Doré</w:t>
      </w:r>
    </w:p>
    <w:p w:rsidR="004E493A" w:rsidRPr="003E0B9A" w:rsidP="003E0B9A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sz w:val="28"/>
          <w:szCs w:val="28"/>
        </w:rPr>
      </w:pPr>
      <w:r w:rsidRPr="003E0B9A">
        <w:rPr>
          <w:rFonts w:cstheme="minorHAnsi"/>
          <w:sz w:val="28"/>
          <w:szCs w:val="28"/>
        </w:rPr>
        <w:t>Brian Kilpatrick</w:t>
      </w:r>
    </w:p>
    <w:p w:rsidR="00EB38DB" w:rsidRPr="003E0B9A" w:rsidP="003E0B9A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sz w:val="28"/>
          <w:szCs w:val="28"/>
        </w:rPr>
      </w:pPr>
      <w:r w:rsidRPr="003E0B9A">
        <w:rPr>
          <w:rFonts w:cstheme="minorHAnsi"/>
          <w:sz w:val="28"/>
          <w:szCs w:val="28"/>
        </w:rPr>
        <w:t>Sahrish Soleja</w:t>
      </w:r>
    </w:p>
    <w:p w:rsidR="006A1FA2" w:rsidRPr="003E0B9A" w:rsidP="003E0B9A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sz w:val="28"/>
          <w:szCs w:val="28"/>
        </w:rPr>
      </w:pPr>
      <w:r w:rsidRPr="003E0B9A">
        <w:rPr>
          <w:rFonts w:cstheme="minorHAnsi"/>
          <w:sz w:val="28"/>
          <w:szCs w:val="28"/>
        </w:rPr>
        <w:t>Randy Williams</w:t>
      </w:r>
    </w:p>
    <w:p w:rsidR="00EB38DB" w:rsidRPr="003E0B9A" w:rsidP="003E0B9A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sz w:val="28"/>
          <w:szCs w:val="28"/>
        </w:rPr>
      </w:pPr>
      <w:r w:rsidRPr="003E0B9A">
        <w:rPr>
          <w:rFonts w:cstheme="minorHAnsi"/>
          <w:sz w:val="28"/>
          <w:szCs w:val="28"/>
        </w:rPr>
        <w:t>Liza Greene</w:t>
      </w:r>
    </w:p>
    <w:p w:rsidR="000D5BC6" w:rsidRPr="003E0B9A" w:rsidP="003E0B9A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sz w:val="28"/>
          <w:szCs w:val="28"/>
        </w:rPr>
      </w:pPr>
      <w:r w:rsidRPr="003E0B9A">
        <w:rPr>
          <w:rFonts w:cstheme="minorHAnsi"/>
          <w:sz w:val="28"/>
          <w:szCs w:val="28"/>
        </w:rPr>
        <w:t>David Elder</w:t>
      </w:r>
    </w:p>
    <w:p w:rsidR="00EB38DB" w:rsidRPr="003E0B9A" w:rsidP="003E0B9A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sz w:val="28"/>
          <w:szCs w:val="28"/>
        </w:rPr>
      </w:pPr>
      <w:r w:rsidRPr="003E0B9A">
        <w:rPr>
          <w:rFonts w:cstheme="minorHAnsi"/>
          <w:sz w:val="28"/>
          <w:szCs w:val="28"/>
        </w:rPr>
        <w:t xml:space="preserve">Greg Kamen </w:t>
      </w:r>
    </w:p>
    <w:p w:rsidR="00EB38DB" w:rsidRPr="003E0B9A" w:rsidP="003E0B9A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sz w:val="28"/>
          <w:szCs w:val="28"/>
        </w:rPr>
      </w:pPr>
      <w:r w:rsidRPr="003E0B9A">
        <w:rPr>
          <w:rFonts w:cstheme="minorHAnsi"/>
          <w:sz w:val="28"/>
          <w:szCs w:val="28"/>
        </w:rPr>
        <w:t xml:space="preserve">Judge </w:t>
      </w:r>
      <w:r w:rsidRPr="003E0B9A" w:rsidR="00AE696A">
        <w:rPr>
          <w:rFonts w:cstheme="minorHAnsi"/>
          <w:sz w:val="28"/>
          <w:szCs w:val="28"/>
        </w:rPr>
        <w:t xml:space="preserve">Karen </w:t>
      </w:r>
      <w:r w:rsidRPr="003E0B9A">
        <w:rPr>
          <w:rFonts w:cstheme="minorHAnsi"/>
          <w:sz w:val="28"/>
          <w:szCs w:val="28"/>
        </w:rPr>
        <w:t>Brown</w:t>
      </w:r>
    </w:p>
    <w:p w:rsidR="00EB38DB" w:rsidRPr="003E0B9A" w:rsidP="003E0B9A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sz w:val="28"/>
          <w:szCs w:val="28"/>
        </w:rPr>
      </w:pPr>
      <w:r w:rsidRPr="003E0B9A">
        <w:rPr>
          <w:rFonts w:cstheme="minorHAnsi"/>
          <w:sz w:val="28"/>
          <w:szCs w:val="28"/>
        </w:rPr>
        <w:t>Karen Murray</w:t>
      </w:r>
    </w:p>
    <w:p w:rsidR="00EB69E9" w:rsidP="003E0B9A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sz w:val="28"/>
          <w:szCs w:val="28"/>
        </w:rPr>
      </w:pPr>
      <w:r w:rsidRPr="003E0B9A">
        <w:rPr>
          <w:rFonts w:cstheme="minorHAnsi"/>
          <w:sz w:val="28"/>
          <w:szCs w:val="28"/>
        </w:rPr>
        <w:t>Angie Offerman</w:t>
      </w:r>
    </w:p>
    <w:p w:rsidR="003E0B9A" w:rsidRPr="003E0B9A" w:rsidP="003E0B9A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sz w:val="28"/>
          <w:szCs w:val="28"/>
        </w:rPr>
      </w:pPr>
    </w:p>
    <w:p w:rsidR="008424EE" w:rsidRPr="00E04560" w:rsidP="00EB69E9">
      <w:pPr>
        <w:spacing w:after="0"/>
        <w:jc w:val="center"/>
        <w:rPr>
          <w:b/>
          <w:sz w:val="28"/>
          <w:szCs w:val="28"/>
        </w:rPr>
      </w:pPr>
      <w:r w:rsidRPr="003E0B9A">
        <w:rPr>
          <w:b/>
          <w:sz w:val="28"/>
          <w:szCs w:val="28"/>
          <w:u w:val="single"/>
        </w:rPr>
        <w:t xml:space="preserve">Some </w:t>
      </w:r>
      <w:r w:rsidRPr="003E0B9A" w:rsidR="00EB69E9">
        <w:rPr>
          <w:b/>
          <w:sz w:val="28"/>
          <w:szCs w:val="28"/>
          <w:u w:val="single"/>
        </w:rPr>
        <w:t>Helpful (and Perhaps Not-So-Helpful) Rules, Articles, and Citations</w:t>
      </w:r>
    </w:p>
    <w:p w:rsidR="004A57D7" w:rsidRPr="007222B2" w:rsidP="00EB69E9">
      <w:pPr>
        <w:spacing w:after="0"/>
        <w:jc w:val="center"/>
        <w:rPr>
          <w:b/>
          <w:sz w:val="26"/>
          <w:szCs w:val="26"/>
          <w:u w:val="single"/>
        </w:rPr>
      </w:pPr>
    </w:p>
    <w:p w:rsidR="008424EE" w:rsidRPr="007222B2" w:rsidP="008424EE">
      <w:pPr>
        <w:spacing w:after="0"/>
        <w:rPr>
          <w:b/>
          <w:sz w:val="26"/>
          <w:szCs w:val="26"/>
        </w:rPr>
      </w:pPr>
      <w:r w:rsidRPr="007222B2">
        <w:rPr>
          <w:b/>
          <w:sz w:val="26"/>
          <w:szCs w:val="26"/>
        </w:rPr>
        <w:t xml:space="preserve">Southern </w:t>
      </w:r>
      <w:r w:rsidRPr="007222B2">
        <w:rPr>
          <w:b/>
          <w:sz w:val="26"/>
          <w:szCs w:val="26"/>
          <w:u w:val="single"/>
        </w:rPr>
        <w:t>District</w:t>
      </w:r>
      <w:r w:rsidRPr="007222B2">
        <w:rPr>
          <w:b/>
          <w:sz w:val="26"/>
          <w:szCs w:val="26"/>
        </w:rPr>
        <w:t xml:space="preserve"> Local Rule 16.4</w:t>
      </w:r>
      <w:r w:rsidRPr="007222B2" w:rsidR="00EE7C99">
        <w:rPr>
          <w:b/>
          <w:sz w:val="26"/>
          <w:szCs w:val="26"/>
        </w:rPr>
        <w:t xml:space="preserve">  </w:t>
      </w:r>
      <w:r w:rsidRPr="007222B2" w:rsidR="00EE7C99">
        <w:rPr>
          <w:sz w:val="26"/>
          <w:szCs w:val="26"/>
        </w:rPr>
        <w:t>[incorporated by Local Bankr. Rule 1001-1(b)]</w:t>
      </w:r>
      <w:r w:rsidRPr="007222B2" w:rsidR="00EB69E9">
        <w:rPr>
          <w:sz w:val="26"/>
          <w:szCs w:val="26"/>
        </w:rPr>
        <w:t>:</w:t>
      </w:r>
      <w:r w:rsidRPr="007222B2">
        <w:rPr>
          <w:sz w:val="26"/>
          <w:szCs w:val="26"/>
        </w:rPr>
        <w:t xml:space="preserve"> </w:t>
      </w:r>
    </w:p>
    <w:p w:rsidR="008424EE" w:rsidRPr="007222B2" w:rsidP="008424EE">
      <w:pPr>
        <w:spacing w:after="0"/>
        <w:rPr>
          <w:sz w:val="26"/>
          <w:szCs w:val="26"/>
        </w:rPr>
      </w:pPr>
    </w:p>
    <w:p w:rsidR="008424EE" w:rsidRPr="007222B2" w:rsidP="0087091B">
      <w:pPr>
        <w:spacing w:after="0"/>
        <w:ind w:left="720"/>
        <w:jc w:val="both"/>
        <w:rPr>
          <w:sz w:val="26"/>
          <w:szCs w:val="26"/>
        </w:rPr>
      </w:pPr>
      <w:r w:rsidRPr="007222B2">
        <w:rPr>
          <w:sz w:val="26"/>
          <w:szCs w:val="26"/>
        </w:rPr>
        <w:t xml:space="preserve">16.4.A  </w:t>
      </w:r>
      <w:r w:rsidRPr="007222B2" w:rsidR="00EB69E9">
        <w:rPr>
          <w:b/>
          <w:i/>
          <w:sz w:val="26"/>
          <w:szCs w:val="26"/>
        </w:rPr>
        <w:t>ADR Methods Available</w:t>
      </w:r>
      <w:r w:rsidRPr="007222B2" w:rsidR="00EB69E9">
        <w:rPr>
          <w:sz w:val="26"/>
          <w:szCs w:val="26"/>
        </w:rPr>
        <w:t xml:space="preserve">. </w:t>
      </w:r>
      <w:r w:rsidRPr="007222B2">
        <w:rPr>
          <w:color w:val="C00000"/>
          <w:sz w:val="26"/>
          <w:szCs w:val="26"/>
        </w:rPr>
        <w:t xml:space="preserve">The Court approves the use of </w:t>
      </w:r>
      <w:r w:rsidRPr="007222B2">
        <w:rPr>
          <w:sz w:val="26"/>
          <w:szCs w:val="26"/>
        </w:rPr>
        <w:t xml:space="preserve">the following ADR methods in civil cases pending before district, magistrate, and bankruptcy judges: </w:t>
      </w:r>
      <w:r w:rsidRPr="007222B2">
        <w:rPr>
          <w:color w:val="C00000"/>
          <w:sz w:val="26"/>
          <w:szCs w:val="26"/>
        </w:rPr>
        <w:t>mediation</w:t>
      </w:r>
      <w:r w:rsidRPr="007222B2">
        <w:rPr>
          <w:sz w:val="26"/>
          <w:szCs w:val="26"/>
        </w:rPr>
        <w:t xml:space="preserve">, early neutral evaluation, mini-trial, summary jury trial, and, if the parties consent, non-binding arbitration pursuant to 28 U.S.C. §654 (1998) (collectively, “ADR”). </w:t>
      </w:r>
      <w:r w:rsidRPr="007222B2">
        <w:rPr>
          <w:color w:val="C00000"/>
          <w:sz w:val="26"/>
          <w:szCs w:val="26"/>
        </w:rPr>
        <w:t>A judge may approve any other ADR method the parties suggest and the judge finds appropriate for a case</w:t>
      </w:r>
      <w:r w:rsidRPr="007222B2">
        <w:rPr>
          <w:sz w:val="26"/>
          <w:szCs w:val="26"/>
        </w:rPr>
        <w:t>.</w:t>
      </w:r>
      <w:r w:rsidRPr="007222B2" w:rsidR="00AE696A">
        <w:rPr>
          <w:sz w:val="26"/>
          <w:szCs w:val="26"/>
        </w:rPr>
        <w:t xml:space="preserve">  …</w:t>
      </w:r>
    </w:p>
    <w:p w:rsidR="008424EE" w:rsidRPr="007222B2" w:rsidP="0087091B">
      <w:pPr>
        <w:spacing w:after="0"/>
        <w:ind w:left="720"/>
        <w:jc w:val="both"/>
        <w:rPr>
          <w:sz w:val="26"/>
          <w:szCs w:val="26"/>
        </w:rPr>
      </w:pPr>
    </w:p>
    <w:p w:rsidR="008424EE" w:rsidRPr="007222B2" w:rsidP="0087091B">
      <w:pPr>
        <w:spacing w:after="0"/>
        <w:ind w:left="720"/>
        <w:jc w:val="both"/>
        <w:rPr>
          <w:sz w:val="26"/>
          <w:szCs w:val="26"/>
        </w:rPr>
      </w:pPr>
      <w:r w:rsidRPr="007222B2">
        <w:rPr>
          <w:sz w:val="26"/>
          <w:szCs w:val="26"/>
        </w:rPr>
        <w:t xml:space="preserve">16.4.I. </w:t>
      </w:r>
      <w:r w:rsidRPr="007222B2">
        <w:rPr>
          <w:b/>
          <w:i/>
          <w:sz w:val="26"/>
          <w:szCs w:val="26"/>
        </w:rPr>
        <w:t>Confidentiality, Privileges and Immunities</w:t>
      </w:r>
      <w:r w:rsidRPr="007222B2">
        <w:rPr>
          <w:sz w:val="26"/>
          <w:szCs w:val="26"/>
        </w:rPr>
        <w:t xml:space="preserve">. </w:t>
      </w:r>
      <w:r w:rsidRPr="007222B2">
        <w:rPr>
          <w:color w:val="C00000"/>
          <w:sz w:val="26"/>
          <w:szCs w:val="26"/>
        </w:rPr>
        <w:t>All communications made during ADR proceedings</w:t>
      </w:r>
      <w:r w:rsidRPr="007222B2">
        <w:rPr>
          <w:sz w:val="26"/>
          <w:szCs w:val="26"/>
        </w:rPr>
        <w:t xml:space="preserve"> (other than communications concerning scheduling, a final agreement, or ADR provider fees) </w:t>
      </w:r>
      <w:r w:rsidRPr="007222B2">
        <w:rPr>
          <w:color w:val="C00000"/>
          <w:sz w:val="26"/>
          <w:szCs w:val="26"/>
        </w:rPr>
        <w:t>are confidential</w:t>
      </w:r>
      <w:r w:rsidRPr="007222B2">
        <w:rPr>
          <w:sz w:val="26"/>
          <w:szCs w:val="26"/>
        </w:rPr>
        <w:t xml:space="preserve">, are protected from disclosure, </w:t>
      </w:r>
      <w:r w:rsidRPr="007222B2">
        <w:rPr>
          <w:color w:val="C00000"/>
          <w:sz w:val="26"/>
          <w:szCs w:val="26"/>
        </w:rPr>
        <w:t>and may not be disclosed to anyone, including the Court</w:t>
      </w:r>
      <w:r w:rsidR="00E04560">
        <w:rPr>
          <w:sz w:val="26"/>
          <w:szCs w:val="26"/>
        </w:rPr>
        <w:t xml:space="preserve"> </w:t>
      </w:r>
      <w:r w:rsidRPr="007222B2" w:rsidR="00EB69E9">
        <w:rPr>
          <w:sz w:val="26"/>
          <w:szCs w:val="26"/>
        </w:rPr>
        <w:t xml:space="preserve">… </w:t>
      </w:r>
    </w:p>
    <w:p w:rsidR="008424EE" w:rsidRPr="007222B2" w:rsidP="008424EE">
      <w:pPr>
        <w:spacing w:after="0"/>
        <w:rPr>
          <w:sz w:val="26"/>
          <w:szCs w:val="26"/>
        </w:rPr>
      </w:pPr>
    </w:p>
    <w:p w:rsidR="00E04560" w:rsidP="000D5BC6">
      <w:pPr>
        <w:spacing w:after="0"/>
        <w:rPr>
          <w:sz w:val="26"/>
          <w:szCs w:val="26"/>
        </w:rPr>
      </w:pPr>
      <w:r w:rsidRPr="007222B2">
        <w:rPr>
          <w:b/>
          <w:sz w:val="26"/>
          <w:szCs w:val="26"/>
        </w:rPr>
        <w:t xml:space="preserve">S. D. Tex. </w:t>
      </w:r>
      <w:r w:rsidRPr="007222B2" w:rsidR="00516F04">
        <w:rPr>
          <w:b/>
          <w:sz w:val="26"/>
          <w:szCs w:val="26"/>
        </w:rPr>
        <w:t xml:space="preserve">ADR </w:t>
      </w:r>
      <w:r w:rsidRPr="007222B2" w:rsidR="0087091B">
        <w:rPr>
          <w:b/>
          <w:sz w:val="26"/>
          <w:szCs w:val="26"/>
        </w:rPr>
        <w:t>Provider List</w:t>
      </w:r>
      <w:r w:rsidRPr="007222B2" w:rsidR="00516F04">
        <w:rPr>
          <w:sz w:val="26"/>
          <w:szCs w:val="26"/>
        </w:rPr>
        <w:t xml:space="preserve">:  </w:t>
      </w:r>
      <w:r>
        <w:fldChar w:fldCharType="begin"/>
      </w:r>
      <w:r>
        <w:instrText xml:space="preserve"> HYPERLINK "http://www.txs.uscourts.gov/adr" </w:instrText>
      </w:r>
      <w:r>
        <w:fldChar w:fldCharType="separate"/>
      </w:r>
      <w:r w:rsidRPr="007222B2" w:rsidR="00516F04">
        <w:rPr>
          <w:rStyle w:val="Hyperlink"/>
          <w:sz w:val="26"/>
          <w:szCs w:val="26"/>
        </w:rPr>
        <w:t>http://www.txs.uscourts.gov/adr</w:t>
      </w:r>
      <w:r>
        <w:fldChar w:fldCharType="end"/>
      </w:r>
    </w:p>
    <w:p w:rsidR="000D5BC6" w:rsidRPr="007222B2" w:rsidP="000D5BC6">
      <w:pPr>
        <w:spacing w:after="0"/>
        <w:rPr>
          <w:sz w:val="26"/>
          <w:szCs w:val="26"/>
        </w:rPr>
      </w:pPr>
      <w:r w:rsidRPr="007222B2">
        <w:rPr>
          <w:sz w:val="26"/>
          <w:szCs w:val="26"/>
        </w:rPr>
        <w:t>___________________________________________________________________</w:t>
      </w:r>
    </w:p>
    <w:p w:rsidR="002C32DF" w:rsidRPr="007222B2" w:rsidP="000D5BC6">
      <w:pPr>
        <w:spacing w:after="0"/>
        <w:rPr>
          <w:sz w:val="26"/>
          <w:szCs w:val="26"/>
        </w:rPr>
      </w:pPr>
    </w:p>
    <w:p w:rsidR="000D5BC6" w:rsidRPr="007222B2" w:rsidP="000D5BC6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222B2">
        <w:rPr>
          <w:rFonts w:ascii="Times New Roman" w:hAnsi="Times New Roman" w:cs="Times New Roman"/>
          <w:b/>
          <w:bCs/>
          <w:sz w:val="26"/>
          <w:szCs w:val="26"/>
        </w:rPr>
        <w:t>Mediation: Whither and Whether</w:t>
      </w:r>
      <w:r w:rsidRPr="007222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222B2">
        <w:rPr>
          <w:rFonts w:ascii="Times New Roman" w:hAnsi="Times New Roman" w:cs="Times New Roman"/>
          <w:bCs/>
          <w:sz w:val="26"/>
          <w:szCs w:val="26"/>
        </w:rPr>
        <w:t xml:space="preserve"> [Bankruptcy Bench Bar 2015]</w:t>
      </w:r>
    </w:p>
    <w:p w:rsidR="00516F04" w:rsidRPr="007222B2" w:rsidP="000D5BC6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fldChar w:fldCharType="begin"/>
      </w:r>
      <w:r>
        <w:instrText xml:space="preserve"> HYPERLINK "http://statebaroftexasbankruptcy.com/wp-content/uploads/2015/05/2-Mediation-Whither-and-Whether.pdf" </w:instrText>
      </w:r>
      <w:r>
        <w:fldChar w:fldCharType="separate"/>
      </w:r>
      <w:r w:rsidRPr="007222B2">
        <w:rPr>
          <w:rStyle w:val="Hyperlink"/>
          <w:rFonts w:ascii="Times New Roman" w:hAnsi="Times New Roman" w:cs="Times New Roman"/>
          <w:bCs/>
          <w:sz w:val="26"/>
          <w:szCs w:val="26"/>
        </w:rPr>
        <w:t>http://statebaroftexasbankruptcy.com/wp-content/uploads/2015/05/2-Mediation-Whither-and-Whether.pdf</w:t>
      </w:r>
      <w:r>
        <w:fldChar w:fldCharType="end"/>
      </w:r>
      <w:r w:rsidRPr="007222B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54ED0" w:rsidRPr="007222B2" w:rsidP="000D5BC6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0D5BC6" w:rsidRPr="007222B2" w:rsidP="000D5BC6">
      <w:pPr>
        <w:spacing w:after="0"/>
        <w:rPr>
          <w:sz w:val="26"/>
          <w:szCs w:val="26"/>
        </w:rPr>
      </w:pPr>
      <w:r w:rsidRPr="007222B2">
        <w:rPr>
          <w:b/>
          <w:sz w:val="26"/>
          <w:szCs w:val="26"/>
        </w:rPr>
        <w:t>Integrating “Alternative” Dispute Resolution into Bankruptcy:</w:t>
      </w:r>
      <w:r w:rsidRPr="007222B2" w:rsidR="0020517E">
        <w:rPr>
          <w:b/>
          <w:sz w:val="26"/>
          <w:szCs w:val="26"/>
        </w:rPr>
        <w:t xml:space="preserve"> </w:t>
      </w:r>
      <w:r w:rsidRPr="007222B2">
        <w:rPr>
          <w:b/>
          <w:sz w:val="26"/>
          <w:szCs w:val="26"/>
        </w:rPr>
        <w:t>As Simple (and Pure) as Motherhood and Apple Pie?</w:t>
      </w:r>
      <w:r w:rsidRPr="007222B2">
        <w:rPr>
          <w:sz w:val="26"/>
          <w:szCs w:val="26"/>
        </w:rPr>
        <w:t xml:space="preserve">  11 Nev. L</w:t>
      </w:r>
      <w:r w:rsidRPr="007222B2" w:rsidR="001B5323">
        <w:rPr>
          <w:sz w:val="26"/>
          <w:szCs w:val="26"/>
        </w:rPr>
        <w:t xml:space="preserve">aw </w:t>
      </w:r>
      <w:r w:rsidRPr="007222B2">
        <w:rPr>
          <w:sz w:val="26"/>
          <w:szCs w:val="26"/>
        </w:rPr>
        <w:t>J</w:t>
      </w:r>
      <w:r w:rsidRPr="007222B2" w:rsidR="001B5323">
        <w:rPr>
          <w:sz w:val="26"/>
          <w:szCs w:val="26"/>
        </w:rPr>
        <w:t>.</w:t>
      </w:r>
      <w:r w:rsidRPr="007222B2">
        <w:rPr>
          <w:sz w:val="26"/>
          <w:szCs w:val="26"/>
        </w:rPr>
        <w:t xml:space="preserve"> 397 (2011)</w:t>
      </w:r>
    </w:p>
    <w:p w:rsidR="00B54ED0" w:rsidRPr="007222B2" w:rsidP="000D5BC6">
      <w:pPr>
        <w:spacing w:after="0"/>
        <w:rPr>
          <w:sz w:val="26"/>
          <w:szCs w:val="26"/>
        </w:rPr>
      </w:pPr>
      <w:r>
        <w:fldChar w:fldCharType="begin"/>
      </w:r>
      <w:r>
        <w:instrText xml:space="preserve"> HYPERLINK "http://scholars.law.unlv.edu/cgi/viewcontent.cgi?article=1165&amp;context=nlj" </w:instrText>
      </w:r>
      <w:r>
        <w:fldChar w:fldCharType="separate"/>
      </w:r>
      <w:r w:rsidRPr="007222B2" w:rsidR="000D5BC6">
        <w:rPr>
          <w:rStyle w:val="Hyperlink"/>
          <w:sz w:val="26"/>
          <w:szCs w:val="26"/>
        </w:rPr>
        <w:t>http://scholars.law.unlv.edu/cgi/viewcontent.cgi?article=1165&amp;context=nlj</w:t>
      </w:r>
      <w:r>
        <w:fldChar w:fldCharType="end"/>
      </w:r>
      <w:r w:rsidRPr="007222B2" w:rsidR="000D5BC6">
        <w:rPr>
          <w:sz w:val="26"/>
          <w:szCs w:val="26"/>
        </w:rPr>
        <w:t xml:space="preserve"> </w:t>
      </w:r>
    </w:p>
    <w:p w:rsidR="00C01D18" w:rsidRPr="007222B2" w:rsidP="000D5BC6">
      <w:pPr>
        <w:spacing w:after="0"/>
        <w:rPr>
          <w:sz w:val="26"/>
          <w:szCs w:val="26"/>
        </w:rPr>
      </w:pPr>
    </w:p>
    <w:p w:rsidR="00C01D18" w:rsidRPr="007222B2" w:rsidP="000D5BC6">
      <w:pPr>
        <w:spacing w:after="0"/>
        <w:rPr>
          <w:sz w:val="26"/>
          <w:szCs w:val="26"/>
        </w:rPr>
      </w:pPr>
      <w:r w:rsidRPr="00E83B9F">
        <w:rPr>
          <w:b/>
          <w:i/>
          <w:sz w:val="26"/>
          <w:szCs w:val="26"/>
        </w:rPr>
        <w:t>In re Smith</w:t>
      </w:r>
      <w:r w:rsidRPr="007222B2">
        <w:rPr>
          <w:sz w:val="26"/>
          <w:szCs w:val="26"/>
        </w:rPr>
        <w:t>, 524 B.R. 689 (Bkrtcy. S.D.Tex. 2015)</w:t>
      </w:r>
      <w:r w:rsidRPr="007222B2" w:rsidR="002C32DF">
        <w:rPr>
          <w:sz w:val="26"/>
          <w:szCs w:val="26"/>
        </w:rPr>
        <w:t xml:space="preserve"> [Judge Bohm]</w:t>
      </w:r>
    </w:p>
    <w:p w:rsidR="009E24FF" w:rsidRPr="007222B2" w:rsidP="000D5BC6">
      <w:pPr>
        <w:spacing w:after="0"/>
        <w:rPr>
          <w:sz w:val="26"/>
          <w:szCs w:val="26"/>
        </w:rPr>
      </w:pPr>
      <w:r w:rsidRPr="007222B2">
        <w:rPr>
          <w:sz w:val="26"/>
          <w:szCs w:val="26"/>
        </w:rPr>
        <w:t xml:space="preserve">[issue of </w:t>
      </w:r>
      <w:r w:rsidRPr="007222B2">
        <w:rPr>
          <w:color w:val="C00000"/>
          <w:sz w:val="26"/>
          <w:szCs w:val="26"/>
        </w:rPr>
        <w:t>payment of any professional fees from estate funds should be decided prior to any mediation</w:t>
      </w:r>
      <w:r w:rsidRPr="007222B2">
        <w:rPr>
          <w:sz w:val="26"/>
          <w:szCs w:val="26"/>
        </w:rPr>
        <w:t>, to ensure compliance with 11 U.S.C. §327(a), and Rule 2014(a)]</w:t>
      </w:r>
    </w:p>
    <w:p w:rsidR="00C01D18" w:rsidRPr="007222B2" w:rsidP="000D5BC6">
      <w:pPr>
        <w:spacing w:after="0"/>
        <w:rPr>
          <w:sz w:val="26"/>
          <w:szCs w:val="26"/>
        </w:rPr>
      </w:pPr>
    </w:p>
    <w:p w:rsidR="006048F8" w:rsidRPr="007222B2" w:rsidP="009E24FF">
      <w:pPr>
        <w:spacing w:after="0"/>
        <w:rPr>
          <w:sz w:val="26"/>
          <w:szCs w:val="26"/>
        </w:rPr>
      </w:pPr>
      <w:r w:rsidRPr="00E83B9F">
        <w:rPr>
          <w:b/>
          <w:i/>
          <w:sz w:val="26"/>
          <w:szCs w:val="26"/>
        </w:rPr>
        <w:t xml:space="preserve">In re </w:t>
      </w:r>
      <w:r w:rsidRPr="00E83B9F">
        <w:rPr>
          <w:b/>
          <w:i/>
          <w:sz w:val="26"/>
          <w:szCs w:val="26"/>
        </w:rPr>
        <w:t>Interstate Cigar Co., Inc</w:t>
      </w:r>
      <w:r w:rsidR="00E83B9F">
        <w:rPr>
          <w:sz w:val="26"/>
          <w:szCs w:val="26"/>
        </w:rPr>
        <w:t>.</w:t>
      </w:r>
      <w:r w:rsidRPr="007222B2">
        <w:rPr>
          <w:sz w:val="26"/>
          <w:szCs w:val="26"/>
        </w:rPr>
        <w:t xml:space="preserve">, 240 B.R. 816 (Bankr. </w:t>
      </w:r>
      <w:r w:rsidRPr="007222B2">
        <w:rPr>
          <w:sz w:val="26"/>
          <w:szCs w:val="26"/>
        </w:rPr>
        <w:t xml:space="preserve">E.D. N.Y.) </w:t>
      </w:r>
    </w:p>
    <w:p w:rsidR="009E24FF" w:rsidRPr="007222B2" w:rsidP="009E24FF">
      <w:pPr>
        <w:spacing w:after="0"/>
        <w:rPr>
          <w:sz w:val="26"/>
          <w:szCs w:val="26"/>
        </w:rPr>
      </w:pPr>
      <w:r w:rsidRPr="007222B2">
        <w:rPr>
          <w:sz w:val="26"/>
          <w:szCs w:val="26"/>
        </w:rPr>
        <w:t>[</w:t>
      </w:r>
      <w:r w:rsidRPr="007222B2" w:rsidR="00D15A50">
        <w:rPr>
          <w:sz w:val="26"/>
          <w:szCs w:val="26"/>
        </w:rPr>
        <w:t xml:space="preserve">ruling on </w:t>
      </w:r>
      <w:r w:rsidRPr="007222B2">
        <w:rPr>
          <w:sz w:val="26"/>
          <w:szCs w:val="26"/>
        </w:rPr>
        <w:t xml:space="preserve">motion to approve mediated settlement </w:t>
      </w:r>
      <w:r w:rsidRPr="007222B2" w:rsidR="008424EE">
        <w:rPr>
          <w:sz w:val="26"/>
          <w:szCs w:val="26"/>
        </w:rPr>
        <w:t xml:space="preserve">— </w:t>
      </w:r>
      <w:r w:rsidRPr="007222B2" w:rsidR="00D15A50">
        <w:rPr>
          <w:sz w:val="26"/>
          <w:szCs w:val="26"/>
          <w:u w:val="single"/>
        </w:rPr>
        <w:t>motion denied</w:t>
      </w:r>
      <w:r w:rsidRPr="007222B2" w:rsidR="00385CF0">
        <w:rPr>
          <w:sz w:val="26"/>
          <w:szCs w:val="26"/>
        </w:rPr>
        <w:t xml:space="preserve"> </w:t>
      </w:r>
      <w:r w:rsidRPr="007222B2" w:rsidR="00385CF0">
        <w:rPr>
          <w:rFonts w:cstheme="minorHAnsi"/>
          <w:sz w:val="26"/>
          <w:szCs w:val="26"/>
        </w:rPr>
        <w:t>—</w:t>
      </w:r>
      <w:r w:rsidRPr="007222B2" w:rsidR="00385CF0">
        <w:rPr>
          <w:sz w:val="26"/>
          <w:szCs w:val="26"/>
        </w:rPr>
        <w:t xml:space="preserve"> Court must consider the interests of the creditors and give proper deference to their reasonable views</w:t>
      </w:r>
      <w:r w:rsidRPr="007222B2">
        <w:rPr>
          <w:sz w:val="26"/>
          <w:szCs w:val="26"/>
        </w:rPr>
        <w:t>]</w:t>
      </w:r>
    </w:p>
    <w:p w:rsidR="006048F8" w:rsidRPr="007222B2" w:rsidP="009E24FF">
      <w:pPr>
        <w:spacing w:after="0"/>
        <w:rPr>
          <w:sz w:val="26"/>
          <w:szCs w:val="26"/>
        </w:rPr>
      </w:pPr>
    </w:p>
    <w:p w:rsidR="00EE7C99" w:rsidRPr="007222B2" w:rsidP="00745CC3">
      <w:pPr>
        <w:spacing w:after="0"/>
        <w:rPr>
          <w:sz w:val="26"/>
          <w:szCs w:val="26"/>
        </w:rPr>
      </w:pPr>
      <w:r w:rsidRPr="00E83B9F">
        <w:rPr>
          <w:b/>
          <w:i/>
          <w:sz w:val="26"/>
          <w:szCs w:val="26"/>
        </w:rPr>
        <w:t>In re American Eagle Energy Corp</w:t>
      </w:r>
      <w:r w:rsidRPr="00E83B9F">
        <w:rPr>
          <w:b/>
          <w:sz w:val="26"/>
          <w:szCs w:val="26"/>
        </w:rPr>
        <w:t>.</w:t>
      </w:r>
      <w:r w:rsidRPr="007222B2">
        <w:rPr>
          <w:sz w:val="26"/>
          <w:szCs w:val="26"/>
        </w:rPr>
        <w:t>, Case No. 15-15073 (Bankr. Colo. 2015)</w:t>
      </w:r>
      <w:r w:rsidRPr="007222B2">
        <w:rPr>
          <w:sz w:val="26"/>
          <w:szCs w:val="26"/>
        </w:rPr>
        <w:t xml:space="preserve"> </w:t>
      </w:r>
      <w:r w:rsidRPr="007222B2">
        <w:rPr>
          <w:sz w:val="26"/>
          <w:szCs w:val="26"/>
        </w:rPr>
        <w:t xml:space="preserve"> </w:t>
      </w:r>
    </w:p>
    <w:p w:rsidR="00745CC3" w:rsidRPr="007222B2" w:rsidP="00745CC3">
      <w:pPr>
        <w:spacing w:after="0"/>
        <w:rPr>
          <w:sz w:val="26"/>
          <w:szCs w:val="26"/>
        </w:rPr>
      </w:pPr>
      <w:r w:rsidRPr="007222B2">
        <w:rPr>
          <w:sz w:val="26"/>
          <w:szCs w:val="26"/>
        </w:rPr>
        <w:t>[Dkt. Nos. 577 and 597]</w:t>
      </w:r>
      <w:r w:rsidRPr="007222B2" w:rsidR="00EE7C99">
        <w:rPr>
          <w:sz w:val="26"/>
          <w:szCs w:val="26"/>
        </w:rPr>
        <w:t xml:space="preserve"> </w:t>
      </w:r>
      <w:r w:rsidRPr="007222B2">
        <w:rPr>
          <w:sz w:val="26"/>
          <w:szCs w:val="26"/>
        </w:rPr>
        <w:t xml:space="preserve">[motion to approve mediated settlement </w:t>
      </w:r>
      <w:r w:rsidRPr="007222B2" w:rsidR="00EE7C99">
        <w:rPr>
          <w:sz w:val="26"/>
          <w:szCs w:val="26"/>
        </w:rPr>
        <w:t xml:space="preserve">and objection thereto </w:t>
      </w:r>
      <w:r w:rsidRPr="007222B2">
        <w:rPr>
          <w:sz w:val="26"/>
          <w:szCs w:val="26"/>
        </w:rPr>
        <w:t xml:space="preserve">— </w:t>
      </w:r>
      <w:r w:rsidRPr="007222B2" w:rsidR="00EE7C99">
        <w:rPr>
          <w:sz w:val="26"/>
          <w:szCs w:val="26"/>
          <w:u w:val="single"/>
        </w:rPr>
        <w:t xml:space="preserve">motion </w:t>
      </w:r>
      <w:r w:rsidRPr="007222B2">
        <w:rPr>
          <w:sz w:val="26"/>
          <w:szCs w:val="26"/>
          <w:u w:val="single"/>
        </w:rPr>
        <w:t>denied</w:t>
      </w:r>
      <w:r w:rsidRPr="007222B2">
        <w:rPr>
          <w:sz w:val="26"/>
          <w:szCs w:val="26"/>
        </w:rPr>
        <w:t>]</w:t>
      </w:r>
    </w:p>
    <w:p w:rsidR="00745CC3" w:rsidRPr="007222B2" w:rsidP="00745CC3">
      <w:pPr>
        <w:spacing w:after="0"/>
        <w:rPr>
          <w:sz w:val="26"/>
          <w:szCs w:val="26"/>
        </w:rPr>
      </w:pPr>
    </w:p>
    <w:p w:rsidR="00745CC3" w:rsidRPr="007222B2" w:rsidP="00745CC3">
      <w:pPr>
        <w:spacing w:after="0"/>
        <w:rPr>
          <w:sz w:val="26"/>
          <w:szCs w:val="26"/>
        </w:rPr>
      </w:pPr>
      <w:r w:rsidRPr="00E83B9F">
        <w:rPr>
          <w:b/>
          <w:i/>
          <w:sz w:val="26"/>
          <w:szCs w:val="26"/>
        </w:rPr>
        <w:t>In re Brizinova</w:t>
      </w:r>
      <w:r w:rsidRPr="007222B2">
        <w:rPr>
          <w:sz w:val="26"/>
          <w:szCs w:val="26"/>
        </w:rPr>
        <w:t>, 2017 WL 878443 (Bankr. E.D. N.Y. 2017)</w:t>
      </w:r>
    </w:p>
    <w:p w:rsidR="009B7B72" w:rsidP="009B7B72">
      <w:pPr>
        <w:spacing w:after="0"/>
        <w:rPr>
          <w:sz w:val="26"/>
          <w:szCs w:val="26"/>
        </w:rPr>
      </w:pPr>
      <w:r w:rsidRPr="007222B2">
        <w:rPr>
          <w:sz w:val="26"/>
          <w:szCs w:val="26"/>
        </w:rPr>
        <w:t>[Trustee moved for sanctions against debtors’ attorneys for alleged violation of local rule on confidentiality of mediation</w:t>
      </w:r>
      <w:r w:rsidRPr="007222B2" w:rsidR="00AA4C8F">
        <w:rPr>
          <w:sz w:val="26"/>
          <w:szCs w:val="26"/>
        </w:rPr>
        <w:t xml:space="preserve"> </w:t>
      </w:r>
      <w:r w:rsidRPr="007222B2">
        <w:rPr>
          <w:rFonts w:cstheme="minorHAnsi"/>
          <w:sz w:val="26"/>
          <w:szCs w:val="26"/>
        </w:rPr>
        <w:t>—</w:t>
      </w:r>
      <w:r w:rsidRPr="007222B2">
        <w:rPr>
          <w:sz w:val="26"/>
          <w:szCs w:val="26"/>
        </w:rPr>
        <w:t xml:space="preserve"> </w:t>
      </w:r>
      <w:r w:rsidRPr="007222B2" w:rsidR="00AA4C8F">
        <w:rPr>
          <w:sz w:val="26"/>
          <w:szCs w:val="26"/>
          <w:u w:val="single"/>
        </w:rPr>
        <w:t xml:space="preserve">motion </w:t>
      </w:r>
      <w:r w:rsidRPr="007222B2">
        <w:rPr>
          <w:sz w:val="26"/>
          <w:szCs w:val="26"/>
          <w:u w:val="single"/>
        </w:rPr>
        <w:t>denied</w:t>
      </w:r>
      <w:r w:rsidRPr="007222B2" w:rsidR="00AA4C8F">
        <w:rPr>
          <w:sz w:val="26"/>
          <w:szCs w:val="26"/>
        </w:rPr>
        <w:t xml:space="preserve">: </w:t>
      </w:r>
      <w:r w:rsidRPr="007222B2" w:rsidR="009946A5">
        <w:rPr>
          <w:color w:val="C00000"/>
          <w:sz w:val="26"/>
          <w:szCs w:val="26"/>
        </w:rPr>
        <w:t xml:space="preserve">facts </w:t>
      </w:r>
      <w:r w:rsidRPr="007222B2" w:rsidR="00AA4C8F">
        <w:rPr>
          <w:color w:val="C00000"/>
          <w:sz w:val="26"/>
          <w:szCs w:val="26"/>
        </w:rPr>
        <w:t xml:space="preserve">do not become confidential merely because they have been </w:t>
      </w:r>
      <w:r w:rsidRPr="007222B2" w:rsidR="009946A5">
        <w:rPr>
          <w:color w:val="C00000"/>
          <w:sz w:val="26"/>
          <w:szCs w:val="26"/>
        </w:rPr>
        <w:t>disclosed during mediation</w:t>
      </w:r>
      <w:r w:rsidRPr="007222B2">
        <w:rPr>
          <w:sz w:val="26"/>
          <w:szCs w:val="26"/>
        </w:rPr>
        <w:t>]</w:t>
      </w:r>
    </w:p>
    <w:p w:rsidR="003E0B9A" w:rsidRPr="007222B2" w:rsidP="009B7B72">
      <w:pPr>
        <w:spacing w:after="0"/>
        <w:rPr>
          <w:sz w:val="26"/>
          <w:szCs w:val="26"/>
        </w:rPr>
      </w:pPr>
    </w:p>
    <w:p w:rsidR="0020517E" w:rsidRPr="007222B2" w:rsidP="00745CC3">
      <w:pPr>
        <w:spacing w:after="0"/>
        <w:rPr>
          <w:sz w:val="26"/>
          <w:szCs w:val="26"/>
        </w:rPr>
      </w:pPr>
      <w:r w:rsidRPr="00E83B9F">
        <w:rPr>
          <w:b/>
          <w:i/>
          <w:sz w:val="26"/>
          <w:szCs w:val="26"/>
        </w:rPr>
        <w:t>Protective Comm. For Indep. Stockholders of TMT Trailer Ferry, Inc. v. Anderson</w:t>
      </w:r>
      <w:r w:rsidRPr="007222B2">
        <w:rPr>
          <w:sz w:val="26"/>
          <w:szCs w:val="26"/>
        </w:rPr>
        <w:t xml:space="preserve">, </w:t>
      </w:r>
    </w:p>
    <w:p w:rsidR="00745CC3" w:rsidRPr="007222B2" w:rsidP="00745CC3">
      <w:pPr>
        <w:spacing w:after="0"/>
        <w:rPr>
          <w:sz w:val="26"/>
          <w:szCs w:val="26"/>
        </w:rPr>
      </w:pPr>
      <w:r w:rsidRPr="007222B2">
        <w:rPr>
          <w:sz w:val="26"/>
          <w:szCs w:val="26"/>
        </w:rPr>
        <w:t>390 U.S. 414 (1968) [</w:t>
      </w:r>
      <w:r w:rsidRPr="00E83B9F">
        <w:rPr>
          <w:color w:val="C00000"/>
          <w:sz w:val="26"/>
          <w:szCs w:val="26"/>
        </w:rPr>
        <w:t xml:space="preserve">Rule 9019 standards </w:t>
      </w:r>
      <w:r w:rsidRPr="007222B2">
        <w:rPr>
          <w:sz w:val="26"/>
          <w:szCs w:val="26"/>
        </w:rPr>
        <w:t>by which courts should evaluate a settlement]</w:t>
      </w:r>
    </w:p>
    <w:p w:rsidR="0020517E" w:rsidRPr="007222B2" w:rsidP="00745CC3">
      <w:pPr>
        <w:spacing w:after="0"/>
        <w:rPr>
          <w:sz w:val="26"/>
          <w:szCs w:val="26"/>
        </w:rPr>
      </w:pPr>
    </w:p>
    <w:p w:rsidR="0020517E" w:rsidRPr="007222B2" w:rsidP="00745CC3">
      <w:pPr>
        <w:spacing w:after="0"/>
        <w:rPr>
          <w:sz w:val="26"/>
          <w:szCs w:val="26"/>
        </w:rPr>
      </w:pPr>
      <w:r w:rsidRPr="00E83B9F">
        <w:rPr>
          <w:b/>
          <w:i/>
          <w:sz w:val="26"/>
          <w:szCs w:val="26"/>
        </w:rPr>
        <w:t xml:space="preserve">Connecticut Gen. Life Ins. Co. v. United Cos. Fin. Corp. </w:t>
      </w:r>
      <w:r w:rsidRPr="00E83B9F">
        <w:rPr>
          <w:i/>
          <w:sz w:val="26"/>
          <w:szCs w:val="26"/>
        </w:rPr>
        <w:t>(In re Foster Mortgage Corp.</w:t>
      </w:r>
      <w:r w:rsidRPr="00E83B9F">
        <w:rPr>
          <w:sz w:val="26"/>
          <w:szCs w:val="26"/>
        </w:rPr>
        <w:t>)</w:t>
      </w:r>
      <w:r w:rsidRPr="007222B2">
        <w:rPr>
          <w:sz w:val="26"/>
          <w:szCs w:val="26"/>
        </w:rPr>
        <w:t>, 68 F.3d 914, 918 (5th Cir. 1995)</w:t>
      </w:r>
      <w:r w:rsidRPr="007222B2" w:rsidR="00D15A50">
        <w:rPr>
          <w:sz w:val="26"/>
          <w:szCs w:val="26"/>
        </w:rPr>
        <w:t xml:space="preserve"> [added other factors to Rule 9019 standards]</w:t>
      </w:r>
    </w:p>
    <w:p w:rsidR="00D15A50" w:rsidRPr="007222B2" w:rsidP="00745CC3">
      <w:pPr>
        <w:spacing w:after="0"/>
        <w:rPr>
          <w:sz w:val="26"/>
          <w:szCs w:val="26"/>
        </w:rPr>
      </w:pPr>
    </w:p>
    <w:p w:rsidR="00D15A50" w:rsidRPr="007222B2" w:rsidP="00745CC3">
      <w:pPr>
        <w:spacing w:after="0"/>
        <w:rPr>
          <w:sz w:val="26"/>
          <w:szCs w:val="26"/>
        </w:rPr>
      </w:pPr>
      <w:r w:rsidRPr="00E83B9F">
        <w:rPr>
          <w:b/>
          <w:i/>
          <w:sz w:val="26"/>
          <w:szCs w:val="26"/>
        </w:rPr>
        <w:t>Cadle Co. v. Mims (In re Moore)</w:t>
      </w:r>
      <w:r w:rsidRPr="007222B2">
        <w:rPr>
          <w:sz w:val="26"/>
          <w:szCs w:val="26"/>
        </w:rPr>
        <w:t>, 608 F.3d 253, 255 (5th Cir. 2010)</w:t>
      </w:r>
    </w:p>
    <w:p w:rsidR="00D15A50" w:rsidRPr="007222B2" w:rsidP="00745CC3">
      <w:pPr>
        <w:spacing w:after="0"/>
        <w:rPr>
          <w:sz w:val="26"/>
          <w:szCs w:val="26"/>
        </w:rPr>
      </w:pPr>
      <w:r w:rsidRPr="007222B2">
        <w:rPr>
          <w:sz w:val="26"/>
          <w:szCs w:val="26"/>
        </w:rPr>
        <w:t xml:space="preserve">[“… a bankruptcy court is obliged to </w:t>
      </w:r>
      <w:r w:rsidRPr="007222B2">
        <w:rPr>
          <w:color w:val="C00000"/>
          <w:sz w:val="26"/>
          <w:szCs w:val="26"/>
        </w:rPr>
        <w:t>consider</w:t>
      </w:r>
      <w:r w:rsidRPr="007222B2">
        <w:rPr>
          <w:sz w:val="26"/>
          <w:szCs w:val="26"/>
        </w:rPr>
        <w:t xml:space="preserve">, as part of the ‘fair and equitable’ analysis, </w:t>
      </w:r>
      <w:r w:rsidRPr="007222B2">
        <w:rPr>
          <w:color w:val="C00000"/>
          <w:sz w:val="26"/>
          <w:szCs w:val="26"/>
        </w:rPr>
        <w:t xml:space="preserve">whether any property </w:t>
      </w:r>
      <w:r w:rsidRPr="007222B2">
        <w:rPr>
          <w:sz w:val="26"/>
          <w:szCs w:val="26"/>
        </w:rPr>
        <w:t xml:space="preserve">of the estate that would be disposed of in connection with the settlement </w:t>
      </w:r>
      <w:r w:rsidRPr="007222B2">
        <w:rPr>
          <w:color w:val="C00000"/>
          <w:sz w:val="26"/>
          <w:szCs w:val="26"/>
        </w:rPr>
        <w:t xml:space="preserve">might draw a higher price through a competitive process </w:t>
      </w:r>
      <w:r w:rsidRPr="007222B2">
        <w:rPr>
          <w:sz w:val="26"/>
          <w:szCs w:val="26"/>
        </w:rPr>
        <w:t>and be the proper subject of a section 363 sale”]</w:t>
      </w:r>
    </w:p>
    <w:p w:rsidR="00674DFD" w:rsidRPr="007222B2" w:rsidP="00745CC3">
      <w:pPr>
        <w:spacing w:after="0"/>
        <w:rPr>
          <w:sz w:val="26"/>
          <w:szCs w:val="26"/>
        </w:rPr>
      </w:pPr>
    </w:p>
    <w:p w:rsidR="00674DFD" w:rsidRPr="007222B2" w:rsidP="00745CC3">
      <w:pPr>
        <w:spacing w:after="0"/>
        <w:rPr>
          <w:sz w:val="26"/>
          <w:szCs w:val="26"/>
        </w:rPr>
      </w:pPr>
      <w:r w:rsidRPr="00E83B9F">
        <w:rPr>
          <w:b/>
          <w:i/>
          <w:sz w:val="26"/>
          <w:szCs w:val="26"/>
        </w:rPr>
        <w:t>Cosoff v. Rodman</w:t>
      </w:r>
      <w:r w:rsidRPr="007222B2">
        <w:rPr>
          <w:i/>
          <w:sz w:val="26"/>
          <w:szCs w:val="26"/>
        </w:rPr>
        <w:t xml:space="preserve"> (In re W.T. Grant Co.)</w:t>
      </w:r>
      <w:r w:rsidRPr="007222B2">
        <w:rPr>
          <w:sz w:val="26"/>
          <w:szCs w:val="26"/>
        </w:rPr>
        <w:t xml:space="preserve">, 699 F.2d 599, 608 (2nd Cir. 1983, </w:t>
      </w:r>
      <w:r w:rsidRPr="007222B2">
        <w:rPr>
          <w:i/>
          <w:sz w:val="26"/>
          <w:szCs w:val="26"/>
        </w:rPr>
        <w:t>cert. den</w:t>
      </w:r>
      <w:r w:rsidR="00E83B9F">
        <w:rPr>
          <w:i/>
          <w:sz w:val="26"/>
          <w:szCs w:val="26"/>
        </w:rPr>
        <w:t>.</w:t>
      </w:r>
      <w:r w:rsidRPr="007222B2">
        <w:rPr>
          <w:sz w:val="26"/>
          <w:szCs w:val="26"/>
        </w:rPr>
        <w:t>, 464 U.S. 822 (1983) [</w:t>
      </w:r>
      <w:r w:rsidRPr="007222B2" w:rsidR="004A57D7">
        <w:rPr>
          <w:sz w:val="26"/>
          <w:szCs w:val="26"/>
        </w:rPr>
        <w:t xml:space="preserve">bankruptcy court </w:t>
      </w:r>
      <w:r w:rsidRPr="007222B2">
        <w:rPr>
          <w:sz w:val="26"/>
          <w:szCs w:val="26"/>
        </w:rPr>
        <w:t xml:space="preserve">is charged with canvassing the issues to </w:t>
      </w:r>
      <w:r w:rsidRPr="00986B76">
        <w:rPr>
          <w:color w:val="C00000"/>
          <w:sz w:val="26"/>
          <w:szCs w:val="26"/>
        </w:rPr>
        <w:t xml:space="preserve">determine </w:t>
      </w:r>
      <w:r w:rsidRPr="007222B2">
        <w:rPr>
          <w:color w:val="C00000"/>
          <w:sz w:val="26"/>
          <w:szCs w:val="26"/>
        </w:rPr>
        <w:t>whether a settlement falls below the lowest point in the range of reasonableness</w:t>
      </w:r>
      <w:r w:rsidRPr="007222B2">
        <w:rPr>
          <w:sz w:val="26"/>
          <w:szCs w:val="26"/>
        </w:rPr>
        <w:t>]</w:t>
      </w:r>
    </w:p>
    <w:p w:rsidR="00674DFD" w:rsidRPr="007222B2" w:rsidP="00745CC3">
      <w:pPr>
        <w:spacing w:after="0"/>
        <w:rPr>
          <w:sz w:val="26"/>
          <w:szCs w:val="26"/>
        </w:rPr>
      </w:pPr>
    </w:p>
    <w:p w:rsidR="00674DFD" w:rsidRPr="007222B2" w:rsidP="00745CC3">
      <w:pPr>
        <w:spacing w:after="0"/>
        <w:rPr>
          <w:sz w:val="26"/>
          <w:szCs w:val="26"/>
        </w:rPr>
      </w:pPr>
      <w:r w:rsidRPr="00E83B9F">
        <w:rPr>
          <w:b/>
          <w:i/>
          <w:sz w:val="26"/>
          <w:szCs w:val="26"/>
        </w:rPr>
        <w:t>In re Aweco, Inc</w:t>
      </w:r>
      <w:r w:rsidRPr="00E83B9F">
        <w:rPr>
          <w:b/>
          <w:sz w:val="26"/>
          <w:szCs w:val="26"/>
        </w:rPr>
        <w:t>.</w:t>
      </w:r>
      <w:r w:rsidRPr="007222B2">
        <w:rPr>
          <w:sz w:val="26"/>
          <w:szCs w:val="26"/>
        </w:rPr>
        <w:t xml:space="preserve">, 725 F.2d 293, at 299, cert denied, 469 U.S. 880 (1984) </w:t>
      </w:r>
    </w:p>
    <w:p w:rsidR="00674DFD" w:rsidRPr="007222B2" w:rsidP="00745CC3">
      <w:pPr>
        <w:spacing w:after="0"/>
        <w:rPr>
          <w:sz w:val="26"/>
          <w:szCs w:val="26"/>
        </w:rPr>
      </w:pPr>
      <w:r w:rsidRPr="007222B2">
        <w:rPr>
          <w:sz w:val="26"/>
          <w:szCs w:val="26"/>
        </w:rPr>
        <w:t>[</w:t>
      </w:r>
      <w:r w:rsidRPr="007222B2" w:rsidR="007222B2">
        <w:rPr>
          <w:sz w:val="26"/>
          <w:szCs w:val="26"/>
        </w:rPr>
        <w:t xml:space="preserve">In approving compromises </w:t>
      </w:r>
      <w:r w:rsidRPr="007222B2">
        <w:rPr>
          <w:sz w:val="26"/>
          <w:szCs w:val="26"/>
        </w:rPr>
        <w:t xml:space="preserve">“ … </w:t>
      </w:r>
      <w:r w:rsidRPr="007222B2">
        <w:rPr>
          <w:color w:val="C00000"/>
          <w:sz w:val="26"/>
          <w:szCs w:val="26"/>
        </w:rPr>
        <w:t>the court must act independently</w:t>
      </w:r>
      <w:r w:rsidRPr="007222B2">
        <w:rPr>
          <w:sz w:val="26"/>
          <w:szCs w:val="26"/>
        </w:rPr>
        <w:t>, out of its own initiative, fo</w:t>
      </w:r>
      <w:r w:rsidRPr="007222B2" w:rsidR="007222B2">
        <w:rPr>
          <w:sz w:val="26"/>
          <w:szCs w:val="26"/>
        </w:rPr>
        <w:t xml:space="preserve">r the benefit of all creditors … </w:t>
      </w:r>
      <w:r w:rsidRPr="007222B2">
        <w:rPr>
          <w:color w:val="C00000"/>
          <w:sz w:val="26"/>
          <w:szCs w:val="26"/>
        </w:rPr>
        <w:t>even where the creditors are silent</w:t>
      </w:r>
      <w:r w:rsidRPr="007222B2">
        <w:rPr>
          <w:sz w:val="26"/>
          <w:szCs w:val="26"/>
        </w:rPr>
        <w:t>”]</w:t>
      </w:r>
    </w:p>
    <w:p w:rsidR="00674DFD" w:rsidRPr="007222B2" w:rsidP="00745CC3">
      <w:pPr>
        <w:spacing w:after="0"/>
        <w:rPr>
          <w:sz w:val="26"/>
          <w:szCs w:val="26"/>
        </w:rPr>
      </w:pPr>
    </w:p>
    <w:p w:rsidR="00674DFD" w:rsidRPr="007222B2" w:rsidP="00745CC3">
      <w:pPr>
        <w:spacing w:after="0"/>
        <w:rPr>
          <w:sz w:val="26"/>
          <w:szCs w:val="26"/>
        </w:rPr>
      </w:pPr>
      <w:r w:rsidRPr="00E83B9F">
        <w:rPr>
          <w:b/>
          <w:i/>
          <w:sz w:val="26"/>
          <w:szCs w:val="26"/>
        </w:rPr>
        <w:t>In re Cajun Elec. Power Coop</w:t>
      </w:r>
      <w:r w:rsidRPr="00E83B9F">
        <w:rPr>
          <w:b/>
          <w:sz w:val="26"/>
          <w:szCs w:val="26"/>
        </w:rPr>
        <w:t>.</w:t>
      </w:r>
      <w:r w:rsidRPr="007222B2">
        <w:rPr>
          <w:sz w:val="26"/>
          <w:szCs w:val="26"/>
        </w:rPr>
        <w:t>, 119 F.3d 349, 356 (5th Cir. 1997)</w:t>
      </w:r>
    </w:p>
    <w:p w:rsidR="00674DFD" w:rsidRPr="007222B2" w:rsidP="00745CC3">
      <w:pPr>
        <w:spacing w:after="0"/>
        <w:rPr>
          <w:sz w:val="26"/>
          <w:szCs w:val="26"/>
        </w:rPr>
      </w:pPr>
      <w:r w:rsidRPr="007222B2">
        <w:rPr>
          <w:sz w:val="26"/>
          <w:szCs w:val="26"/>
        </w:rPr>
        <w:t xml:space="preserve">[when determining probability of ultimate success under Rule 9019, the </w:t>
      </w:r>
      <w:r w:rsidRPr="007222B2">
        <w:rPr>
          <w:color w:val="C00000"/>
          <w:sz w:val="26"/>
          <w:szCs w:val="26"/>
        </w:rPr>
        <w:t>bankruptcy court need not conduct a “mini-trial”</w:t>
      </w:r>
      <w:r w:rsidRPr="007222B2">
        <w:rPr>
          <w:sz w:val="26"/>
          <w:szCs w:val="26"/>
        </w:rPr>
        <w:t>]</w:t>
      </w:r>
    </w:p>
    <w:p w:rsidR="00674DFD" w:rsidRPr="007222B2" w:rsidP="00745CC3">
      <w:pPr>
        <w:spacing w:after="0"/>
        <w:rPr>
          <w:sz w:val="26"/>
          <w:szCs w:val="26"/>
        </w:rPr>
      </w:pPr>
    </w:p>
    <w:p w:rsidR="00674DFD" w:rsidRPr="007222B2" w:rsidP="001B5323">
      <w:pPr>
        <w:spacing w:after="0"/>
        <w:rPr>
          <w:sz w:val="26"/>
          <w:szCs w:val="26"/>
        </w:rPr>
      </w:pPr>
      <w:r w:rsidRPr="00E83B9F">
        <w:rPr>
          <w:b/>
          <w:i/>
          <w:sz w:val="26"/>
          <w:szCs w:val="26"/>
        </w:rPr>
        <w:t>In re Emerald Oil Co</w:t>
      </w:r>
      <w:r w:rsidRPr="00E83B9F">
        <w:rPr>
          <w:b/>
          <w:sz w:val="26"/>
          <w:szCs w:val="26"/>
        </w:rPr>
        <w:t>.</w:t>
      </w:r>
      <w:r w:rsidRPr="007222B2">
        <w:rPr>
          <w:sz w:val="26"/>
          <w:szCs w:val="26"/>
        </w:rPr>
        <w:t>, 807 F.2d 1234, 1239 (5th Cir. 1987)</w:t>
      </w:r>
    </w:p>
    <w:p w:rsidR="001B5323" w:rsidRPr="003E0B9A" w:rsidP="001B5323">
      <w:pPr>
        <w:spacing w:after="0"/>
        <w:rPr>
          <w:sz w:val="26"/>
          <w:szCs w:val="26"/>
        </w:rPr>
      </w:pPr>
      <w:r w:rsidRPr="007222B2">
        <w:rPr>
          <w:sz w:val="26"/>
          <w:szCs w:val="26"/>
        </w:rPr>
        <w:t xml:space="preserve">[“ … standard for reviewing a </w:t>
      </w:r>
      <w:r w:rsidRPr="007222B2">
        <w:rPr>
          <w:color w:val="C00000"/>
          <w:sz w:val="26"/>
          <w:szCs w:val="26"/>
        </w:rPr>
        <w:t xml:space="preserve">bankruptcy court's approval of a compromise </w:t>
      </w:r>
      <w:r w:rsidRPr="007222B2">
        <w:rPr>
          <w:sz w:val="26"/>
          <w:szCs w:val="26"/>
        </w:rPr>
        <w:t xml:space="preserve">is a high one, and such decisions </w:t>
      </w:r>
      <w:r w:rsidRPr="007222B2">
        <w:rPr>
          <w:color w:val="C00000"/>
          <w:sz w:val="26"/>
          <w:szCs w:val="26"/>
        </w:rPr>
        <w:t>should not be disturbed except for an abuse of discretion</w:t>
      </w:r>
      <w:r w:rsidRPr="007222B2">
        <w:rPr>
          <w:sz w:val="26"/>
          <w:szCs w:val="26"/>
        </w:rPr>
        <w:t xml:space="preserve">.  A </w:t>
      </w:r>
      <w:r w:rsidRPr="003E0B9A">
        <w:rPr>
          <w:sz w:val="26"/>
          <w:szCs w:val="26"/>
        </w:rPr>
        <w:t>bankruptcy court is ordinarily in the best position … to determine whether a compromise is in the best interest of the estate and ‘fair and equitable.’ ”</w:t>
      </w:r>
    </w:p>
    <w:p w:rsidR="000B24D2" w:rsidRPr="003E0B9A" w:rsidP="009B7B72">
      <w:pPr>
        <w:spacing w:after="0"/>
        <w:jc w:val="center"/>
        <w:rPr>
          <w:noProof/>
          <w:sz w:val="26"/>
          <w:szCs w:val="26"/>
        </w:rPr>
      </w:pPr>
    </w:p>
    <w:p w:rsidR="003E0B9A" w:rsidP="003E0B9A">
      <w:pPr>
        <w:spacing w:after="0"/>
        <w:rPr>
          <w:noProof/>
          <w:sz w:val="26"/>
          <w:szCs w:val="26"/>
        </w:rPr>
      </w:pPr>
      <w:r w:rsidRPr="003E0B9A">
        <w:rPr>
          <w:b/>
          <w:i/>
          <w:noProof/>
          <w:sz w:val="26"/>
          <w:szCs w:val="26"/>
        </w:rPr>
        <w:t>In re SunEdison, Inc.</w:t>
      </w:r>
      <w:r w:rsidRPr="003E0B9A">
        <w:rPr>
          <w:noProof/>
          <w:sz w:val="26"/>
          <w:szCs w:val="26"/>
        </w:rPr>
        <w:t>, Case No. 16-10992 (Bankr. S.D.N.Y]</w:t>
      </w:r>
    </w:p>
    <w:p w:rsidR="003E0B9A" w:rsidRPr="007222B2" w:rsidP="003E0B9A">
      <w:pPr>
        <w:spacing w:after="0"/>
        <w:rPr>
          <w:sz w:val="26"/>
          <w:szCs w:val="26"/>
        </w:rPr>
      </w:pPr>
      <w:r w:rsidRPr="007222B2">
        <w:rPr>
          <w:sz w:val="26"/>
          <w:szCs w:val="26"/>
        </w:rPr>
        <w:t xml:space="preserve">[Dkt. No. </w:t>
      </w:r>
      <w:r>
        <w:rPr>
          <w:sz w:val="26"/>
          <w:szCs w:val="26"/>
        </w:rPr>
        <w:t xml:space="preserve">2795 </w:t>
      </w:r>
      <w:r>
        <w:rPr>
          <w:rFonts w:cstheme="minorHAnsi"/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 w:rsidRPr="00EA3F70">
        <w:rPr>
          <w:color w:val="C00000"/>
          <w:sz w:val="26"/>
          <w:szCs w:val="26"/>
        </w:rPr>
        <w:t xml:space="preserve">motion compelling multi-party mediation </w:t>
      </w:r>
      <w:r>
        <w:rPr>
          <w:sz w:val="26"/>
          <w:szCs w:val="26"/>
        </w:rPr>
        <w:t>and appointing mediator</w:t>
      </w:r>
      <w:r w:rsidRPr="007222B2">
        <w:rPr>
          <w:sz w:val="26"/>
          <w:szCs w:val="26"/>
        </w:rPr>
        <w:t>]</w:t>
      </w:r>
    </w:p>
    <w:p w:rsidR="003E0B9A" w:rsidRPr="003E0B9A" w:rsidP="003E0B9A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9600565</wp:posOffset>
                </wp:positionV>
                <wp:extent cx="5943600" cy="274320"/>
                <wp:effectExtent l="0" t="0" r="0" b="11430"/>
                <wp:wrapNone/>
                <wp:docPr id="2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1E0" w:rsidRPr="005811E0" w:rsidP="005811E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 w:rsidRPr="005811E0">
                              <w:rPr>
                                <w:sz w:val="16"/>
                              </w:rPr>
                              <w:instrText>IF "</w:instrText>
                            </w:r>
                            <w:r w:rsidRPr="005811E0">
                              <w:rPr>
                                <w:sz w:val="16"/>
                              </w:rPr>
                              <w:instrText>3</w:instrText>
                            </w:r>
                            <w:r w:rsidRPr="005811E0">
                              <w:rPr>
                                <w:sz w:val="16"/>
                              </w:rPr>
                              <w:instrText>" = "3" "</w:instrText>
                            </w:r>
                            <w:r w:rsidRPr="005811E0">
                              <w:rPr>
                                <w:sz w:val="16"/>
                              </w:rPr>
                              <w:fldChar w:fldCharType="begin"/>
                            </w:r>
                            <w:r w:rsidRPr="005811E0">
                              <w:rPr>
                                <w:sz w:val="16"/>
                              </w:rPr>
                              <w:instrText xml:space="preserve"> DOCPROPERTY "SWDocID" </w:instrText>
                            </w:r>
                            <w:r w:rsidRPr="005811E0"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instrText>Gardere01 - 10172767v.2</w:instrText>
                            </w:r>
                            <w:r w:rsidRPr="005811E0">
                              <w:rPr>
                                <w:sz w:val="16"/>
                              </w:rPr>
                              <w:fldChar w:fldCharType="end"/>
                            </w:r>
                            <w:r w:rsidRPr="005811E0">
                              <w:rPr>
                                <w:sz w:val="16"/>
                              </w:rPr>
                              <w:instrText>" ""</w:instrText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</w:rPr>
                              <w:t>Gardere01 - 10172767v.2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5" type="#_x0000_t202" style="height:21.6pt;margin-left:0;margin-top:755.95pt;mso-position-vertical-relative:page;mso-wrap-distance-bottom:0;mso-wrap-distance-left:9pt;mso-wrap-distance-right:9pt;mso-wrap-distance-top:0;mso-wrap-style:square;position:absolute;v-text-anchor:top;visibility:visible;width:468pt;z-index:251659264" o:allowincell="f" filled="f" stroked="f" strokeweight="0.5pt">
                <v:fill o:detectmouseclick="t"/>
                <v:textbox inset="0,0,0,0">
                  <w:txbxContent>
                    <w:p w:rsidR="005811E0" w:rsidRPr="005811E0" w:rsidP="005811E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</w:instrText>
                      </w:r>
                      <w:r w:rsidRPr="005811E0">
                        <w:rPr>
                          <w:sz w:val="16"/>
                        </w:rPr>
                        <w:instrText>IF "</w:instrText>
                      </w:r>
                      <w:r w:rsidRPr="005811E0">
                        <w:rPr>
                          <w:sz w:val="16"/>
                        </w:rPr>
                        <w:fldChar w:fldCharType="begin"/>
                      </w:r>
                      <w:r w:rsidRPr="005811E0">
                        <w:rPr>
                          <w:sz w:val="16"/>
                        </w:rPr>
                        <w:instrText xml:space="preserve"> DOCVARIABLE "SWDocIDLocation" 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instrText>3</w:instrText>
                      </w:r>
                      <w:r w:rsidRPr="005811E0">
                        <w:rPr>
                          <w:sz w:val="16"/>
                        </w:rPr>
                        <w:fldChar w:fldCharType="end"/>
                      </w:r>
                      <w:r w:rsidRPr="005811E0">
                        <w:rPr>
                          <w:sz w:val="16"/>
                        </w:rPr>
                        <w:instrText>" = "3" "</w:instrText>
                      </w:r>
                      <w:r w:rsidRPr="005811E0">
                        <w:rPr>
                          <w:sz w:val="16"/>
                        </w:rPr>
                        <w:fldChar w:fldCharType="begin"/>
                      </w:r>
                      <w:r w:rsidRPr="005811E0">
                        <w:rPr>
                          <w:sz w:val="16"/>
                        </w:rPr>
                        <w:instrText xml:space="preserve"> DOCPROPERTY "SWDocID" 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instrText>Gardere01 - 10172767v.2</w:instrText>
                      </w:r>
                      <w:r w:rsidRPr="005811E0">
                        <w:rPr>
                          <w:sz w:val="16"/>
                        </w:rPr>
                        <w:fldChar w:fldCharType="end"/>
                      </w:r>
                      <w:r w:rsidRPr="005811E0">
                        <w:rPr>
                          <w:sz w:val="16"/>
                        </w:rPr>
                        <w:instrText>" ""</w:instrText>
                      </w:r>
                      <w:r>
                        <w:rPr>
                          <w:sz w:val="16"/>
                        </w:rPr>
                        <w:instrText xml:space="preserve"> 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noProof/>
                          <w:sz w:val="16"/>
                        </w:rPr>
                        <w:t>Gardere01 - 10172767v.2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Sect="001B53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152" w:right="1440" w:bottom="1152" w:left="144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5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18545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B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C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E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5C9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5C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5C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5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"/>
    <w:docVar w:name="SWDocIDLocation" w:val="3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" w:qFormat="1"/>
    <w:lsdException w:name="Subtitle" w:semiHidden="0" w:uiPriority="11" w:unhideWhenUsed="0" w:qFormat="1"/>
    <w:lsdException w:name="Body Text First Indent" w:uiPriority="9" w:qFormat="1"/>
    <w:lsdException w:name="Block Text" w:uiPriority="9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9A"/>
  </w:style>
  <w:style w:type="paragraph" w:styleId="Heading1">
    <w:name w:val="heading 1"/>
    <w:basedOn w:val="Normal"/>
    <w:next w:val="BodyText"/>
    <w:link w:val="Heading1Char"/>
    <w:uiPriority w:val="9"/>
    <w:rsid w:val="000B694A"/>
    <w:pPr>
      <w:keepNext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rsid w:val="000B694A"/>
    <w:pPr>
      <w:keepNext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0B694A"/>
    <w:p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0B694A"/>
    <w:pPr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0B694A"/>
    <w:p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0B694A"/>
    <w:pPr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0B694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0B694A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0B694A"/>
    <w:p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"/>
    <w:qFormat/>
    <w:rsid w:val="00836C8D"/>
    <w:pPr>
      <w:ind w:left="1152" w:right="1152"/>
    </w:pPr>
    <w:rPr>
      <w:rFonts w:eastAsiaTheme="minorEastAsia"/>
      <w:iCs/>
    </w:rPr>
  </w:style>
  <w:style w:type="paragraph" w:styleId="BodyText">
    <w:name w:val="Body Text"/>
    <w:basedOn w:val="Normal"/>
    <w:link w:val="BodyTextChar"/>
    <w:uiPriority w:val="9"/>
    <w:qFormat/>
    <w:rsid w:val="000B694A"/>
  </w:style>
  <w:style w:type="character" w:customStyle="1" w:styleId="BodyTextChar">
    <w:name w:val="Body Text Char"/>
    <w:basedOn w:val="DefaultParagraphFont"/>
    <w:link w:val="BodyText"/>
    <w:uiPriority w:val="9"/>
    <w:rsid w:val="000B694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694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694A"/>
    <w:rPr>
      <w:rFonts w:ascii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"/>
    <w:qFormat/>
    <w:rsid w:val="000B694A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0B694A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semiHidden/>
    <w:rsid w:val="000B694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694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694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94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94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694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94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94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94A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94A"/>
    <w:rPr>
      <w:rFonts w:asciiTheme="majorHAnsi" w:eastAsiaTheme="majorEastAsia" w:hAnsiTheme="majorHAnsi" w:cstheme="majorBidi"/>
      <w:iCs/>
      <w:sz w:val="24"/>
      <w:szCs w:val="20"/>
    </w:rPr>
  </w:style>
  <w:style w:type="character" w:styleId="IntenseEmphasis">
    <w:name w:val="Intense Emphasis"/>
    <w:basedOn w:val="DefaultParagraphFont"/>
    <w:uiPriority w:val="21"/>
    <w:semiHidden/>
    <w:rsid w:val="000B694A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semiHidden/>
    <w:rsid w:val="000B694A"/>
    <w:rPr>
      <w:b/>
      <w:bCs/>
      <w:caps w:val="0"/>
      <w:smallCaps w:val="0"/>
      <w:color w:val="auto"/>
      <w:spacing w:val="0"/>
      <w:u w:val="none"/>
    </w:rPr>
  </w:style>
  <w:style w:type="paragraph" w:styleId="Quote">
    <w:name w:val="Quote"/>
    <w:basedOn w:val="Normal"/>
    <w:next w:val="Normal"/>
    <w:link w:val="QuoteChar"/>
    <w:uiPriority w:val="29"/>
    <w:qFormat/>
    <w:rsid w:val="000B694A"/>
    <w:pPr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694A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694A"/>
    <w:pPr>
      <w:numPr>
        <w:ilvl w:val="1"/>
      </w:numPr>
      <w:jc w:val="center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B694A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0B694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0B694A"/>
    <w:rPr>
      <w:caps w:val="0"/>
      <w:smallCaps w:val="0"/>
      <w:color w:val="auto"/>
      <w:u w:val="none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0B694A"/>
    <w:pPr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694A"/>
    <w:rPr>
      <w:rFonts w:asciiTheme="majorHAnsi" w:eastAsiaTheme="majorEastAsia" w:hAnsiTheme="majorHAnsi" w:cstheme="majorBidi"/>
      <w:b/>
      <w:sz w:val="24"/>
      <w:szCs w:val="52"/>
    </w:rPr>
  </w:style>
  <w:style w:type="paragraph" w:styleId="NoSpacing">
    <w:name w:val="No Spacing"/>
    <w:uiPriority w:val="1"/>
    <w:qFormat/>
    <w:rsid w:val="00836C8D"/>
    <w:pPr>
      <w:spacing w:after="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863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63C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863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63C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F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der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4223</Characters>
  <Application>Microsoft Office Word</Application>
  <DocSecurity>0</DocSecurity>
  <Lines>168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2017-04-27T09:54:56Z</dcterms:created>
  <dcterms:modified xsi:type="dcterms:W3CDTF">2017-04-27T09:54:56Z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Gardere01 - 10172767v.2</vt:lpwstr>
  </property>
</Properties>
</file>