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C9703" w14:textId="77777777" w:rsidR="00214A5B" w:rsidRPr="00A36DAC" w:rsidRDefault="00214A5B" w:rsidP="00214A5B">
      <w:pPr>
        <w:jc w:val="center"/>
        <w:rPr>
          <w:b/>
          <w:sz w:val="32"/>
          <w:szCs w:val="32"/>
          <w:u w:val="single"/>
        </w:rPr>
      </w:pPr>
      <w:r w:rsidRPr="00DF34CD">
        <w:rPr>
          <w:b/>
          <w:sz w:val="32"/>
          <w:szCs w:val="32"/>
        </w:rPr>
        <w:t>GEORGE MASON AMERICAN INN OF COURT</w:t>
      </w:r>
    </w:p>
    <w:p w14:paraId="1B8A1A5F" w14:textId="77777777" w:rsidR="00214A5B" w:rsidRDefault="00214A5B" w:rsidP="00214A5B">
      <w:pPr>
        <w:rPr>
          <w:sz w:val="25"/>
          <w:szCs w:val="25"/>
          <w:lang w:val="en-CA"/>
        </w:rPr>
      </w:pPr>
    </w:p>
    <w:p w14:paraId="1C225E8B" w14:textId="4D8A6028" w:rsidR="00214A5B" w:rsidRDefault="00214A5B" w:rsidP="00214A5B">
      <w:pPr>
        <w:jc w:val="center"/>
        <w:rPr>
          <w:b/>
          <w:u w:val="single"/>
        </w:rPr>
      </w:pPr>
      <w:r>
        <w:rPr>
          <w:noProof/>
          <w:sz w:val="25"/>
          <w:szCs w:val="25"/>
        </w:rPr>
        <w:drawing>
          <wp:inline distT="0" distB="0" distL="0" distR="0" wp14:anchorId="046F43E7" wp14:editId="49C2B444">
            <wp:extent cx="899795" cy="929005"/>
            <wp:effectExtent l="0" t="0" r="0" b="4445"/>
            <wp:docPr id="1" name="Picture 1" descr="aic-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c-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795" cy="929005"/>
                    </a:xfrm>
                    <a:prstGeom prst="rect">
                      <a:avLst/>
                    </a:prstGeom>
                    <a:noFill/>
                    <a:ln>
                      <a:noFill/>
                    </a:ln>
                  </pic:spPr>
                </pic:pic>
              </a:graphicData>
            </a:graphic>
          </wp:inline>
        </w:drawing>
      </w:r>
    </w:p>
    <w:p w14:paraId="6D91BE87" w14:textId="77777777" w:rsidR="00214A5B" w:rsidRPr="006D01FD" w:rsidRDefault="00214A5B" w:rsidP="00214A5B">
      <w:pPr>
        <w:rPr>
          <w:szCs w:val="25"/>
        </w:rPr>
      </w:pPr>
    </w:p>
    <w:p w14:paraId="4737644A" w14:textId="7D091887" w:rsidR="00214A5B" w:rsidRDefault="00214A5B" w:rsidP="00214A5B">
      <w:pPr>
        <w:jc w:val="center"/>
        <w:rPr>
          <w:b/>
          <w:sz w:val="32"/>
          <w:szCs w:val="25"/>
        </w:rPr>
      </w:pPr>
      <w:r>
        <w:rPr>
          <w:b/>
          <w:sz w:val="32"/>
          <w:szCs w:val="25"/>
        </w:rPr>
        <w:t>EVIDENCE JEOPARDY</w:t>
      </w:r>
    </w:p>
    <w:p w14:paraId="330F4626" w14:textId="77777777" w:rsidR="00214A5B" w:rsidRDefault="00214A5B" w:rsidP="00214A5B">
      <w:pPr>
        <w:jc w:val="center"/>
      </w:pPr>
    </w:p>
    <w:p w14:paraId="6C02DC6B" w14:textId="43CEE720" w:rsidR="00214A5B" w:rsidRPr="00214A5B" w:rsidRDefault="00214A5B" w:rsidP="00214A5B">
      <w:pPr>
        <w:jc w:val="center"/>
        <w:rPr>
          <w:b/>
        </w:rPr>
      </w:pPr>
      <w:r w:rsidRPr="00214A5B">
        <w:rPr>
          <w:b/>
        </w:rPr>
        <w:t>January 17, 2017</w:t>
      </w:r>
    </w:p>
    <w:p w14:paraId="06D722EF" w14:textId="77777777" w:rsidR="00214A5B" w:rsidRDefault="00214A5B" w:rsidP="00214A5B">
      <w:pPr>
        <w:rPr>
          <w:b/>
          <w:sz w:val="32"/>
          <w:szCs w:val="25"/>
        </w:rPr>
      </w:pPr>
    </w:p>
    <w:p w14:paraId="0663E80B" w14:textId="2D835B36" w:rsidR="00214A5B" w:rsidRDefault="00214A5B" w:rsidP="00214A5B">
      <w:pPr>
        <w:jc w:val="center"/>
        <w:rPr>
          <w:b/>
          <w:sz w:val="28"/>
          <w:szCs w:val="28"/>
        </w:rPr>
      </w:pPr>
      <w:r w:rsidRPr="00D2388F">
        <w:rPr>
          <w:b/>
          <w:sz w:val="28"/>
          <w:szCs w:val="28"/>
        </w:rPr>
        <w:t>Team Members:</w:t>
      </w:r>
    </w:p>
    <w:p w14:paraId="41C9B0D5" w14:textId="77777777" w:rsidR="00214A5B" w:rsidRPr="00D2388F" w:rsidRDefault="00214A5B" w:rsidP="00214A5B">
      <w:pPr>
        <w:jc w:val="center"/>
        <w:rPr>
          <w:b/>
          <w:sz w:val="28"/>
          <w:szCs w:val="28"/>
        </w:rPr>
      </w:pPr>
    </w:p>
    <w:p w14:paraId="7191B61D" w14:textId="03736AD3" w:rsidR="00214A5B" w:rsidRPr="00D2388F" w:rsidRDefault="00BA2D39" w:rsidP="00214A5B">
      <w:pPr>
        <w:jc w:val="center"/>
        <w:rPr>
          <w:b/>
          <w:sz w:val="28"/>
          <w:szCs w:val="28"/>
        </w:rPr>
      </w:pPr>
      <w:r>
        <w:rPr>
          <w:b/>
          <w:sz w:val="28"/>
          <w:szCs w:val="28"/>
        </w:rPr>
        <w:t>Jesse R. Binnall,</w:t>
      </w:r>
      <w:r w:rsidR="00214A5B" w:rsidRPr="00D2388F">
        <w:rPr>
          <w:b/>
          <w:sz w:val="28"/>
          <w:szCs w:val="28"/>
        </w:rPr>
        <w:t xml:space="preserve"> Esq.</w:t>
      </w:r>
      <w:r>
        <w:rPr>
          <w:b/>
          <w:sz w:val="28"/>
          <w:szCs w:val="28"/>
        </w:rPr>
        <w:t xml:space="preserve"> (Team Leader</w:t>
      </w:r>
      <w:r w:rsidR="00214A5B">
        <w:rPr>
          <w:b/>
          <w:sz w:val="28"/>
          <w:szCs w:val="28"/>
        </w:rPr>
        <w:t>)</w:t>
      </w:r>
    </w:p>
    <w:p w14:paraId="7E047576" w14:textId="3E7E4414" w:rsidR="00214A5B" w:rsidRDefault="00BA2D39" w:rsidP="00214A5B">
      <w:pPr>
        <w:jc w:val="center"/>
        <w:rPr>
          <w:b/>
          <w:sz w:val="28"/>
          <w:szCs w:val="28"/>
        </w:rPr>
      </w:pPr>
      <w:r>
        <w:rPr>
          <w:b/>
          <w:sz w:val="28"/>
          <w:szCs w:val="28"/>
        </w:rPr>
        <w:t>Louise T. Gitcheva</w:t>
      </w:r>
      <w:r w:rsidR="00214A5B">
        <w:rPr>
          <w:b/>
          <w:sz w:val="28"/>
          <w:szCs w:val="28"/>
        </w:rPr>
        <w:t>, Esq.</w:t>
      </w:r>
      <w:r w:rsidR="00214A5B" w:rsidRPr="00D2388F">
        <w:rPr>
          <w:b/>
          <w:sz w:val="28"/>
          <w:szCs w:val="28"/>
        </w:rPr>
        <w:t xml:space="preserve"> </w:t>
      </w:r>
    </w:p>
    <w:p w14:paraId="0C1B2489" w14:textId="3ED20505" w:rsidR="00214A5B" w:rsidRPr="00D2388F" w:rsidRDefault="002440C4" w:rsidP="00214A5B">
      <w:pPr>
        <w:jc w:val="center"/>
        <w:rPr>
          <w:b/>
          <w:sz w:val="28"/>
          <w:szCs w:val="28"/>
        </w:rPr>
      </w:pPr>
      <w:r>
        <w:rPr>
          <w:b/>
          <w:sz w:val="28"/>
          <w:szCs w:val="28"/>
        </w:rPr>
        <w:t>Jonathan T. Woodward</w:t>
      </w:r>
      <w:r w:rsidR="00BA2D39">
        <w:rPr>
          <w:b/>
          <w:sz w:val="28"/>
          <w:szCs w:val="28"/>
        </w:rPr>
        <w:t xml:space="preserve">, Esq. </w:t>
      </w:r>
    </w:p>
    <w:p w14:paraId="08554835" w14:textId="39F80816" w:rsidR="00214A5B" w:rsidRPr="00D2388F" w:rsidRDefault="002440C4" w:rsidP="00214A5B">
      <w:pPr>
        <w:jc w:val="center"/>
        <w:rPr>
          <w:b/>
          <w:sz w:val="28"/>
          <w:szCs w:val="28"/>
        </w:rPr>
      </w:pPr>
      <w:r>
        <w:rPr>
          <w:b/>
          <w:sz w:val="28"/>
          <w:szCs w:val="28"/>
        </w:rPr>
        <w:t xml:space="preserve">Taylor </w:t>
      </w:r>
      <w:r w:rsidR="006424FA">
        <w:rPr>
          <w:b/>
          <w:sz w:val="28"/>
          <w:szCs w:val="28"/>
        </w:rPr>
        <w:t>S. Chapman</w:t>
      </w:r>
      <w:r w:rsidR="00214A5B" w:rsidRPr="00D2388F">
        <w:rPr>
          <w:b/>
          <w:sz w:val="28"/>
          <w:szCs w:val="28"/>
        </w:rPr>
        <w:t>, Esq.</w:t>
      </w:r>
    </w:p>
    <w:p w14:paraId="4ABFC1B7" w14:textId="1180B56D" w:rsidR="00214A5B" w:rsidRPr="00D2388F" w:rsidRDefault="000E703D" w:rsidP="00214A5B">
      <w:pPr>
        <w:jc w:val="center"/>
        <w:rPr>
          <w:b/>
          <w:sz w:val="28"/>
          <w:szCs w:val="28"/>
        </w:rPr>
      </w:pPr>
      <w:r>
        <w:rPr>
          <w:b/>
          <w:sz w:val="28"/>
          <w:szCs w:val="28"/>
        </w:rPr>
        <w:t>Nic</w:t>
      </w:r>
      <w:r w:rsidR="000A7837">
        <w:rPr>
          <w:b/>
          <w:sz w:val="28"/>
          <w:szCs w:val="28"/>
        </w:rPr>
        <w:t>h</w:t>
      </w:r>
      <w:r>
        <w:rPr>
          <w:b/>
          <w:sz w:val="28"/>
          <w:szCs w:val="28"/>
        </w:rPr>
        <w:t xml:space="preserve">olas </w:t>
      </w:r>
      <w:r w:rsidR="002C7F8E">
        <w:rPr>
          <w:b/>
          <w:sz w:val="28"/>
          <w:szCs w:val="28"/>
        </w:rPr>
        <w:t>R</w:t>
      </w:r>
      <w:r w:rsidR="000A7837">
        <w:rPr>
          <w:b/>
          <w:sz w:val="28"/>
          <w:szCs w:val="28"/>
        </w:rPr>
        <w:t>. Johnson</w:t>
      </w:r>
      <w:r w:rsidR="00214A5B" w:rsidRPr="00D2388F">
        <w:rPr>
          <w:b/>
          <w:sz w:val="28"/>
          <w:szCs w:val="28"/>
        </w:rPr>
        <w:t>, Esq.</w:t>
      </w:r>
    </w:p>
    <w:p w14:paraId="3977669E" w14:textId="27E3BD6D" w:rsidR="00214A5B" w:rsidRPr="00D2388F" w:rsidRDefault="000A7837" w:rsidP="00214A5B">
      <w:pPr>
        <w:jc w:val="center"/>
        <w:rPr>
          <w:b/>
          <w:sz w:val="28"/>
          <w:szCs w:val="28"/>
        </w:rPr>
      </w:pPr>
      <w:r>
        <w:rPr>
          <w:b/>
          <w:sz w:val="28"/>
          <w:szCs w:val="28"/>
        </w:rPr>
        <w:t xml:space="preserve">Kathryn </w:t>
      </w:r>
      <w:r w:rsidR="00331AD6">
        <w:rPr>
          <w:b/>
          <w:sz w:val="28"/>
          <w:szCs w:val="28"/>
        </w:rPr>
        <w:t>M. Lipp</w:t>
      </w:r>
      <w:r w:rsidR="00214A5B" w:rsidRPr="00D2388F">
        <w:rPr>
          <w:b/>
          <w:sz w:val="28"/>
          <w:szCs w:val="28"/>
        </w:rPr>
        <w:t>, Esq.</w:t>
      </w:r>
    </w:p>
    <w:p w14:paraId="34A88CC6" w14:textId="77777777" w:rsidR="00214A5B" w:rsidRDefault="00214A5B" w:rsidP="00214A5B">
      <w:pPr>
        <w:jc w:val="center"/>
        <w:rPr>
          <w:b/>
          <w:sz w:val="28"/>
          <w:szCs w:val="28"/>
        </w:rPr>
      </w:pPr>
    </w:p>
    <w:p w14:paraId="412D4572" w14:textId="504C0F65" w:rsidR="00214A5B" w:rsidRPr="00D2388F" w:rsidRDefault="00C125F2" w:rsidP="00214A5B">
      <w:pPr>
        <w:jc w:val="center"/>
        <w:rPr>
          <w:b/>
          <w:sz w:val="28"/>
          <w:szCs w:val="28"/>
        </w:rPr>
      </w:pPr>
      <w:r>
        <w:rPr>
          <w:b/>
          <w:sz w:val="28"/>
          <w:szCs w:val="28"/>
        </w:rPr>
        <w:t>Col</w:t>
      </w:r>
      <w:r w:rsidR="006424FA">
        <w:rPr>
          <w:b/>
          <w:sz w:val="28"/>
          <w:szCs w:val="28"/>
        </w:rPr>
        <w:t>ette</w:t>
      </w:r>
      <w:r>
        <w:rPr>
          <w:b/>
          <w:sz w:val="28"/>
          <w:szCs w:val="28"/>
        </w:rPr>
        <w:t xml:space="preserve"> McCrone</w:t>
      </w:r>
      <w:r w:rsidR="00214A5B" w:rsidRPr="00D2388F">
        <w:rPr>
          <w:b/>
          <w:sz w:val="28"/>
          <w:szCs w:val="28"/>
        </w:rPr>
        <w:t xml:space="preserve"> (Student Member)</w:t>
      </w:r>
    </w:p>
    <w:p w14:paraId="00CE0521" w14:textId="03417E2F" w:rsidR="00214A5B" w:rsidRPr="00D2388F" w:rsidRDefault="00385D15" w:rsidP="00214A5B">
      <w:pPr>
        <w:jc w:val="center"/>
        <w:rPr>
          <w:b/>
          <w:sz w:val="28"/>
          <w:szCs w:val="28"/>
        </w:rPr>
      </w:pPr>
      <w:r>
        <w:rPr>
          <w:b/>
          <w:sz w:val="28"/>
          <w:szCs w:val="28"/>
        </w:rPr>
        <w:t>Richard Cole</w:t>
      </w:r>
      <w:r w:rsidR="00214A5B" w:rsidRPr="00D2388F">
        <w:rPr>
          <w:b/>
          <w:sz w:val="28"/>
          <w:szCs w:val="28"/>
        </w:rPr>
        <w:t xml:space="preserve"> (Student Member)</w:t>
      </w:r>
    </w:p>
    <w:p w14:paraId="73858DD7" w14:textId="5D0FED15" w:rsidR="00214A5B" w:rsidRDefault="001E64E9" w:rsidP="00214A5B">
      <w:pPr>
        <w:jc w:val="center"/>
        <w:rPr>
          <w:b/>
          <w:sz w:val="28"/>
          <w:szCs w:val="28"/>
        </w:rPr>
      </w:pPr>
      <w:r>
        <w:rPr>
          <w:b/>
          <w:sz w:val="28"/>
          <w:szCs w:val="28"/>
        </w:rPr>
        <w:t>Steven Horn</w:t>
      </w:r>
      <w:r w:rsidR="00214A5B" w:rsidRPr="00D2388F">
        <w:rPr>
          <w:b/>
          <w:sz w:val="28"/>
          <w:szCs w:val="28"/>
        </w:rPr>
        <w:t xml:space="preserve"> (Student Member)</w:t>
      </w:r>
    </w:p>
    <w:p w14:paraId="4DBB1CC5" w14:textId="12847D46" w:rsidR="00214A5B" w:rsidRDefault="00214A5B">
      <w:pPr>
        <w:rPr>
          <w:rFonts w:ascii="Bookman Old Style" w:hAnsi="Bookman Old Style"/>
        </w:rPr>
      </w:pPr>
      <w:r>
        <w:rPr>
          <w:rFonts w:ascii="Bookman Old Style" w:hAnsi="Bookman Old Style"/>
        </w:rPr>
        <w:br w:type="page"/>
      </w:r>
    </w:p>
    <w:p w14:paraId="7FC6B088" w14:textId="77777777" w:rsidR="00115804" w:rsidRDefault="00115804" w:rsidP="00115804">
      <w:pPr>
        <w:rPr>
          <w:rFonts w:ascii="Bookman Old Style" w:hAnsi="Bookman Old Style"/>
        </w:rPr>
      </w:pPr>
    </w:p>
    <w:p w14:paraId="54E142AC" w14:textId="77777777" w:rsidR="008A4305" w:rsidRDefault="008A4305" w:rsidP="00115804">
      <w:pPr>
        <w:rPr>
          <w:rFonts w:ascii="Bookman Old Style" w:hAnsi="Bookman Old Style"/>
        </w:rPr>
      </w:pPr>
    </w:p>
    <w:p w14:paraId="1E4B8437" w14:textId="77777777" w:rsidR="00115804" w:rsidRDefault="00115804" w:rsidP="00115804">
      <w:pPr>
        <w:pStyle w:val="ListParagraph"/>
        <w:numPr>
          <w:ilvl w:val="0"/>
          <w:numId w:val="1"/>
        </w:numPr>
        <w:rPr>
          <w:rFonts w:ascii="Bookman Old Style" w:hAnsi="Bookman Old Style"/>
        </w:rPr>
      </w:pPr>
      <w:r>
        <w:rPr>
          <w:rFonts w:ascii="Bookman Old Style" w:hAnsi="Bookman Old Style"/>
        </w:rPr>
        <w:t>Introduction</w:t>
      </w:r>
    </w:p>
    <w:p w14:paraId="521BF2DE" w14:textId="26751C27" w:rsidR="00115804" w:rsidRDefault="00115804" w:rsidP="00115804">
      <w:pPr>
        <w:pStyle w:val="ListParagraph"/>
        <w:numPr>
          <w:ilvl w:val="1"/>
          <w:numId w:val="1"/>
        </w:numPr>
        <w:rPr>
          <w:rFonts w:ascii="Bookman Old Style" w:hAnsi="Bookman Old Style"/>
        </w:rPr>
      </w:pPr>
      <w:r>
        <w:rPr>
          <w:rFonts w:ascii="Bookman Old Style" w:hAnsi="Bookman Old Style"/>
        </w:rPr>
        <w:t>Update</w:t>
      </w:r>
      <w:r w:rsidR="00D75E36">
        <w:rPr>
          <w:rFonts w:ascii="Bookman Old Style" w:hAnsi="Bookman Old Style"/>
        </w:rPr>
        <w:t>s to</w:t>
      </w:r>
      <w:r>
        <w:rPr>
          <w:rFonts w:ascii="Bookman Old Style" w:hAnsi="Bookman Old Style"/>
        </w:rPr>
        <w:t xml:space="preserve"> evidence rules</w:t>
      </w:r>
    </w:p>
    <w:p w14:paraId="4FCF85B0" w14:textId="68C69A82" w:rsidR="00AB6E1E" w:rsidRDefault="00AB6E1E" w:rsidP="00AB6E1E">
      <w:pPr>
        <w:pStyle w:val="ListParagraph"/>
        <w:numPr>
          <w:ilvl w:val="2"/>
          <w:numId w:val="1"/>
        </w:numPr>
        <w:rPr>
          <w:rFonts w:ascii="Bookman Old Style" w:hAnsi="Bookman Old Style"/>
        </w:rPr>
      </w:pPr>
      <w:r>
        <w:rPr>
          <w:rFonts w:ascii="Bookman Old Style" w:hAnsi="Bookman Old Style"/>
        </w:rPr>
        <w:t>New Rules of Evidence</w:t>
      </w:r>
    </w:p>
    <w:p w14:paraId="6748A3F3" w14:textId="1131AD9F" w:rsidR="00AB6E1E" w:rsidRDefault="00AB6E1E" w:rsidP="00AB6E1E">
      <w:pPr>
        <w:pStyle w:val="ListParagraph"/>
        <w:numPr>
          <w:ilvl w:val="2"/>
          <w:numId w:val="1"/>
        </w:numPr>
        <w:rPr>
          <w:rFonts w:ascii="Bookman Old Style" w:hAnsi="Bookman Old Style"/>
        </w:rPr>
      </w:pPr>
      <w:r>
        <w:rPr>
          <w:rFonts w:ascii="Bookman Old Style" w:hAnsi="Bookman Old Style"/>
        </w:rPr>
        <w:t>Re-written Rules of Evidence</w:t>
      </w:r>
    </w:p>
    <w:p w14:paraId="26226962" w14:textId="39DE5825" w:rsidR="00AB6E1E" w:rsidRDefault="00AB6E1E" w:rsidP="00AB6E1E">
      <w:pPr>
        <w:pStyle w:val="ListParagraph"/>
        <w:numPr>
          <w:ilvl w:val="2"/>
          <w:numId w:val="1"/>
        </w:numPr>
        <w:rPr>
          <w:rFonts w:ascii="Bookman Old Style" w:hAnsi="Bookman Old Style"/>
        </w:rPr>
      </w:pPr>
      <w:r>
        <w:rPr>
          <w:rFonts w:ascii="Bookman Old Style" w:hAnsi="Bookman Old Style"/>
        </w:rPr>
        <w:t>Prospective Changes</w:t>
      </w:r>
    </w:p>
    <w:p w14:paraId="15411408" w14:textId="07CB8BA1" w:rsidR="00115804" w:rsidRDefault="00115804" w:rsidP="00115804">
      <w:pPr>
        <w:pStyle w:val="ListParagraph"/>
        <w:numPr>
          <w:ilvl w:val="1"/>
          <w:numId w:val="1"/>
        </w:numPr>
        <w:rPr>
          <w:rFonts w:ascii="Bookman Old Style" w:hAnsi="Bookman Old Style"/>
        </w:rPr>
      </w:pPr>
      <w:r>
        <w:rPr>
          <w:rFonts w:ascii="Bookman Old Style" w:hAnsi="Bookman Old Style"/>
        </w:rPr>
        <w:t>Update on Supreme Court of Virginia decisions</w:t>
      </w:r>
      <w:r w:rsidR="00592FE7">
        <w:rPr>
          <w:rFonts w:ascii="Bookman Old Style" w:hAnsi="Bookman Old Style"/>
        </w:rPr>
        <w:t xml:space="preserve"> on Evidence</w:t>
      </w:r>
    </w:p>
    <w:p w14:paraId="69DE8FA5" w14:textId="77777777" w:rsidR="00AB6E1E" w:rsidRDefault="00AB6E1E" w:rsidP="00AB6E1E">
      <w:pPr>
        <w:pStyle w:val="ListParagraph"/>
        <w:numPr>
          <w:ilvl w:val="2"/>
          <w:numId w:val="1"/>
        </w:numPr>
        <w:rPr>
          <w:rFonts w:ascii="Bookman Old Style" w:hAnsi="Bookman Old Style"/>
        </w:rPr>
      </w:pPr>
      <w:r>
        <w:rPr>
          <w:rFonts w:ascii="Bookman Old Style" w:hAnsi="Bookman Old Style"/>
        </w:rPr>
        <w:t>Rule 2:201: Judicial Note of Adjudicative Facts</w:t>
      </w:r>
    </w:p>
    <w:p w14:paraId="2FAECD65" w14:textId="77777777" w:rsidR="00AB6E1E" w:rsidRDefault="00AB6E1E" w:rsidP="00AB6E1E">
      <w:pPr>
        <w:pStyle w:val="ListParagraph"/>
        <w:numPr>
          <w:ilvl w:val="2"/>
          <w:numId w:val="1"/>
        </w:numPr>
        <w:rPr>
          <w:rFonts w:ascii="Bookman Old Style" w:hAnsi="Bookman Old Style"/>
        </w:rPr>
      </w:pPr>
      <w:r>
        <w:rPr>
          <w:rFonts w:ascii="Bookman Old Style" w:hAnsi="Bookman Old Style"/>
        </w:rPr>
        <w:t>Rule 2:401: Definition of “Relevant Evidence”</w:t>
      </w:r>
    </w:p>
    <w:p w14:paraId="086920D4" w14:textId="77777777" w:rsidR="00AB6E1E" w:rsidRDefault="00AB6E1E" w:rsidP="00AB6E1E">
      <w:pPr>
        <w:pStyle w:val="ListParagraph"/>
        <w:numPr>
          <w:ilvl w:val="2"/>
          <w:numId w:val="1"/>
        </w:numPr>
        <w:rPr>
          <w:rFonts w:ascii="Bookman Old Style" w:hAnsi="Bookman Old Style"/>
        </w:rPr>
      </w:pPr>
      <w:r>
        <w:rPr>
          <w:rFonts w:ascii="Bookman Old Style" w:hAnsi="Bookman Old Style"/>
        </w:rPr>
        <w:t>Rule 2:403: Exclusion of Relevant on Grounds of Prejudice, Confusion, Misleading the Jury, or Needless Presentation of Cumulative Evidence</w:t>
      </w:r>
    </w:p>
    <w:p w14:paraId="2C27611A" w14:textId="77777777" w:rsidR="00AB6E1E" w:rsidRDefault="00AB6E1E" w:rsidP="00AB6E1E">
      <w:pPr>
        <w:pStyle w:val="ListParagraph"/>
        <w:numPr>
          <w:ilvl w:val="2"/>
          <w:numId w:val="1"/>
        </w:numPr>
        <w:rPr>
          <w:rFonts w:ascii="Bookman Old Style" w:hAnsi="Bookman Old Style"/>
        </w:rPr>
      </w:pPr>
      <w:r>
        <w:rPr>
          <w:rFonts w:ascii="Bookman Old Style" w:hAnsi="Bookman Old Style"/>
        </w:rPr>
        <w:t>Rule 2:609: Impeachment by Evidence of Conviction of Crime</w:t>
      </w:r>
    </w:p>
    <w:p w14:paraId="05943649" w14:textId="77777777" w:rsidR="00AB6E1E" w:rsidRDefault="00AB6E1E" w:rsidP="00AB6E1E">
      <w:pPr>
        <w:pStyle w:val="ListParagraph"/>
        <w:numPr>
          <w:ilvl w:val="2"/>
          <w:numId w:val="1"/>
        </w:numPr>
        <w:rPr>
          <w:rFonts w:ascii="Bookman Old Style" w:hAnsi="Bookman Old Style"/>
        </w:rPr>
      </w:pPr>
      <w:r>
        <w:rPr>
          <w:rFonts w:ascii="Bookman Old Style" w:hAnsi="Bookman Old Style"/>
        </w:rPr>
        <w:t>Rule 2:702: Testimony by Experts</w:t>
      </w:r>
    </w:p>
    <w:p w14:paraId="21E863CD" w14:textId="15C8929D" w:rsidR="00AB6E1E" w:rsidRPr="00AB6E1E" w:rsidRDefault="00AB6E1E" w:rsidP="00AB6E1E">
      <w:pPr>
        <w:pStyle w:val="ListParagraph"/>
        <w:numPr>
          <w:ilvl w:val="2"/>
          <w:numId w:val="1"/>
        </w:numPr>
        <w:rPr>
          <w:rFonts w:ascii="Bookman Old Style" w:hAnsi="Bookman Old Style"/>
        </w:rPr>
      </w:pPr>
      <w:r>
        <w:rPr>
          <w:rFonts w:ascii="Bookman Old Style" w:hAnsi="Bookman Old Style"/>
        </w:rPr>
        <w:t>Rule 2:703: Basis of Expert Testimony</w:t>
      </w:r>
    </w:p>
    <w:p w14:paraId="7CAA212A" w14:textId="77777777" w:rsidR="00115804" w:rsidRDefault="00115804" w:rsidP="00115804">
      <w:pPr>
        <w:pStyle w:val="ListParagraph"/>
        <w:numPr>
          <w:ilvl w:val="1"/>
          <w:numId w:val="1"/>
        </w:numPr>
        <w:rPr>
          <w:rFonts w:ascii="Bookman Old Style" w:hAnsi="Bookman Old Style"/>
        </w:rPr>
      </w:pPr>
      <w:r>
        <w:rPr>
          <w:rFonts w:ascii="Bookman Old Style" w:hAnsi="Bookman Old Style"/>
        </w:rPr>
        <w:t>Evidence Jeopardy</w:t>
      </w:r>
    </w:p>
    <w:p w14:paraId="26D01896" w14:textId="77777777" w:rsidR="00592FE7" w:rsidRPr="00592FE7" w:rsidRDefault="00592FE7" w:rsidP="00592FE7">
      <w:pPr>
        <w:rPr>
          <w:rFonts w:ascii="Bookman Old Style" w:hAnsi="Bookman Old Style"/>
        </w:rPr>
      </w:pPr>
    </w:p>
    <w:p w14:paraId="25C7332F" w14:textId="5F93B3B6" w:rsidR="000A2125" w:rsidRDefault="00D75E36" w:rsidP="00115804">
      <w:pPr>
        <w:pStyle w:val="ListParagraph"/>
        <w:numPr>
          <w:ilvl w:val="0"/>
          <w:numId w:val="1"/>
        </w:numPr>
        <w:rPr>
          <w:rFonts w:ascii="Bookman Old Style" w:hAnsi="Bookman Old Style"/>
        </w:rPr>
      </w:pPr>
      <w:r>
        <w:rPr>
          <w:rFonts w:ascii="Bookman Old Style" w:hAnsi="Bookman Old Style"/>
        </w:rPr>
        <w:t>Updates to Evidence Rules</w:t>
      </w:r>
    </w:p>
    <w:p w14:paraId="06FD193F" w14:textId="6074A4B6" w:rsidR="00592FE7" w:rsidRDefault="00592FE7" w:rsidP="00D75E36">
      <w:pPr>
        <w:pStyle w:val="ListParagraph"/>
        <w:numPr>
          <w:ilvl w:val="1"/>
          <w:numId w:val="1"/>
        </w:numPr>
        <w:rPr>
          <w:rFonts w:ascii="Bookman Old Style" w:hAnsi="Bookman Old Style"/>
        </w:rPr>
      </w:pPr>
      <w:r>
        <w:rPr>
          <w:rFonts w:ascii="Bookman Old Style" w:hAnsi="Bookman Old Style"/>
        </w:rPr>
        <w:t>New Rules of Evidence</w:t>
      </w:r>
    </w:p>
    <w:p w14:paraId="24EC72BA" w14:textId="0512B505" w:rsidR="008A4305" w:rsidRPr="008A4305" w:rsidRDefault="00D75E36" w:rsidP="008A4305">
      <w:pPr>
        <w:pStyle w:val="ListParagraph"/>
        <w:numPr>
          <w:ilvl w:val="2"/>
          <w:numId w:val="1"/>
        </w:numPr>
        <w:rPr>
          <w:rFonts w:ascii="Bookman Old Style" w:hAnsi="Bookman Old Style"/>
        </w:rPr>
      </w:pPr>
      <w:r>
        <w:rPr>
          <w:rFonts w:ascii="Bookman Old Style" w:hAnsi="Bookman Old Style"/>
        </w:rPr>
        <w:t>Rule 2:803.1: Statements by Child Describing Acts Relating to Offense Against Children</w:t>
      </w:r>
    </w:p>
    <w:p w14:paraId="1CE733C4" w14:textId="0D8F4833" w:rsidR="00A96C7C" w:rsidRDefault="00A96C7C" w:rsidP="00A96C7C">
      <w:pPr>
        <w:pStyle w:val="ListParagraph"/>
        <w:numPr>
          <w:ilvl w:val="3"/>
          <w:numId w:val="1"/>
        </w:numPr>
        <w:rPr>
          <w:rFonts w:ascii="Bookman Old Style" w:hAnsi="Bookman Old Style"/>
        </w:rPr>
      </w:pPr>
      <w:r>
        <w:rPr>
          <w:rFonts w:ascii="Bookman Old Style" w:hAnsi="Bookman Old Style"/>
        </w:rPr>
        <w:t>This is a new hearsay exception</w:t>
      </w:r>
      <w:r w:rsidR="00395D18">
        <w:rPr>
          <w:rFonts w:ascii="Bookman Old Style" w:hAnsi="Bookman Old Style"/>
        </w:rPr>
        <w:t>.</w:t>
      </w:r>
    </w:p>
    <w:p w14:paraId="39B736C4" w14:textId="5B7EAFE4" w:rsidR="008A4305" w:rsidRDefault="008A4305" w:rsidP="00A96C7C">
      <w:pPr>
        <w:pStyle w:val="ListParagraph"/>
        <w:numPr>
          <w:ilvl w:val="3"/>
          <w:numId w:val="1"/>
        </w:numPr>
        <w:rPr>
          <w:rFonts w:ascii="Bookman Old Style" w:hAnsi="Bookman Old Style"/>
        </w:rPr>
      </w:pPr>
      <w:r>
        <w:rPr>
          <w:rFonts w:ascii="Bookman Old Style" w:hAnsi="Bookman Old Style"/>
        </w:rPr>
        <w:t xml:space="preserve">Only applies to out-of-court statement made by </w:t>
      </w:r>
      <w:r w:rsidR="00395D18">
        <w:rPr>
          <w:rFonts w:ascii="Bookman Old Style" w:hAnsi="Bookman Old Style"/>
        </w:rPr>
        <w:t xml:space="preserve">a </w:t>
      </w:r>
      <w:r>
        <w:rPr>
          <w:rFonts w:ascii="Bookman Old Style" w:hAnsi="Bookman Old Style"/>
        </w:rPr>
        <w:t xml:space="preserve">child under age of 13, who is an alleged victim of offense against children, and </w:t>
      </w:r>
      <w:r w:rsidR="00395D18">
        <w:rPr>
          <w:rFonts w:ascii="Bookman Old Style" w:hAnsi="Bookman Old Style"/>
        </w:rPr>
        <w:t xml:space="preserve">the </w:t>
      </w:r>
      <w:r>
        <w:rPr>
          <w:rFonts w:ascii="Bookman Old Style" w:hAnsi="Bookman Old Style"/>
        </w:rPr>
        <w:t>statement describes any act against the child relating to such offense</w:t>
      </w:r>
      <w:r w:rsidR="00395D18">
        <w:rPr>
          <w:rFonts w:ascii="Bookman Old Style" w:hAnsi="Bookman Old Style"/>
        </w:rPr>
        <w:t>.</w:t>
      </w:r>
    </w:p>
    <w:p w14:paraId="29999F3E" w14:textId="262EB50A" w:rsidR="00A96C7C" w:rsidRDefault="00A96C7C" w:rsidP="00A96C7C">
      <w:pPr>
        <w:pStyle w:val="ListParagraph"/>
        <w:numPr>
          <w:ilvl w:val="3"/>
          <w:numId w:val="1"/>
        </w:numPr>
        <w:rPr>
          <w:rFonts w:ascii="Bookman Old Style" w:hAnsi="Bookman Old Style"/>
        </w:rPr>
      </w:pPr>
      <w:r>
        <w:rPr>
          <w:rFonts w:ascii="Bookman Old Style" w:hAnsi="Bookman Old Style"/>
        </w:rPr>
        <w:t>Requires</w:t>
      </w:r>
      <w:r w:rsidR="008A4305">
        <w:rPr>
          <w:rFonts w:ascii="Bookman Old Style" w:hAnsi="Bookman Old Style"/>
        </w:rPr>
        <w:t xml:space="preserve"> court, in </w:t>
      </w:r>
      <w:r w:rsidR="00395D18">
        <w:rPr>
          <w:rFonts w:ascii="Bookman Old Style" w:hAnsi="Bookman Old Style"/>
        </w:rPr>
        <w:t xml:space="preserve">a </w:t>
      </w:r>
      <w:r w:rsidR="008A4305">
        <w:rPr>
          <w:rFonts w:ascii="Bookman Old Style" w:hAnsi="Bookman Old Style"/>
        </w:rPr>
        <w:t>hearing conducted before trial</w:t>
      </w:r>
      <w:r w:rsidR="00395D18">
        <w:rPr>
          <w:rFonts w:ascii="Bookman Old Style" w:hAnsi="Bookman Old Style"/>
        </w:rPr>
        <w:t>,</w:t>
      </w:r>
      <w:r w:rsidR="008A4305">
        <w:rPr>
          <w:rFonts w:ascii="Bookman Old Style" w:hAnsi="Bookman Old Style"/>
        </w:rPr>
        <w:t xml:space="preserve"> to find</w:t>
      </w:r>
      <w:r>
        <w:rPr>
          <w:rFonts w:ascii="Bookman Old Style" w:hAnsi="Bookman Old Style"/>
        </w:rPr>
        <w:t xml:space="preserve"> “sufficient indicia of reliability</w:t>
      </w:r>
      <w:r w:rsidR="00395D18">
        <w:rPr>
          <w:rFonts w:ascii="Bookman Old Style" w:hAnsi="Bookman Old Style"/>
        </w:rPr>
        <w:t>.</w:t>
      </w:r>
      <w:r>
        <w:rPr>
          <w:rFonts w:ascii="Bookman Old Style" w:hAnsi="Bookman Old Style"/>
        </w:rPr>
        <w:t>”</w:t>
      </w:r>
    </w:p>
    <w:p w14:paraId="24DAB8C1" w14:textId="4C27E03E" w:rsidR="008A4305" w:rsidRDefault="008A4305" w:rsidP="00A96C7C">
      <w:pPr>
        <w:pStyle w:val="ListParagraph"/>
        <w:numPr>
          <w:ilvl w:val="3"/>
          <w:numId w:val="1"/>
        </w:numPr>
        <w:rPr>
          <w:rFonts w:ascii="Bookman Old Style" w:hAnsi="Bookman Old Style"/>
        </w:rPr>
      </w:pPr>
      <w:r>
        <w:rPr>
          <w:rFonts w:ascii="Bookman Old Style" w:hAnsi="Bookman Old Style"/>
        </w:rPr>
        <w:t xml:space="preserve">The child </w:t>
      </w:r>
      <w:r w:rsidR="00395D18">
        <w:rPr>
          <w:rFonts w:ascii="Bookman Old Style" w:hAnsi="Bookman Old Style"/>
        </w:rPr>
        <w:t>must</w:t>
      </w:r>
      <w:r>
        <w:rPr>
          <w:rFonts w:ascii="Bookman Old Style" w:hAnsi="Bookman Old Style"/>
        </w:rPr>
        <w:t xml:space="preserve"> </w:t>
      </w:r>
      <w:r w:rsidR="00395D18">
        <w:rPr>
          <w:rFonts w:ascii="Bookman Old Style" w:hAnsi="Bookman Old Style"/>
        </w:rPr>
        <w:t xml:space="preserve">either </w:t>
      </w:r>
      <w:r>
        <w:rPr>
          <w:rFonts w:ascii="Bookman Old Style" w:hAnsi="Bookman Old Style"/>
        </w:rPr>
        <w:t>testify or be declared unavailable</w:t>
      </w:r>
      <w:r w:rsidR="00395D18">
        <w:rPr>
          <w:rFonts w:ascii="Bookman Old Style" w:hAnsi="Bookman Old Style"/>
        </w:rPr>
        <w:t>. If the child is declared unavailable by the court, then statement can only be admitted if there is corroborative evidence of the act.</w:t>
      </w:r>
    </w:p>
    <w:p w14:paraId="4776C303" w14:textId="66219295" w:rsidR="00A96C7C" w:rsidRPr="00592FE7" w:rsidRDefault="00A96C7C" w:rsidP="00A96C7C">
      <w:pPr>
        <w:pStyle w:val="ListParagraph"/>
        <w:numPr>
          <w:ilvl w:val="3"/>
          <w:numId w:val="1"/>
        </w:numPr>
        <w:rPr>
          <w:rFonts w:ascii="Bookman Old Style" w:hAnsi="Bookman Old Style"/>
        </w:rPr>
      </w:pPr>
      <w:r>
        <w:rPr>
          <w:rFonts w:ascii="Bookman Old Style" w:hAnsi="Bookman Old Style"/>
        </w:rPr>
        <w:t xml:space="preserve">Requires at least 14 </w:t>
      </w:r>
      <w:r w:rsidR="00395D18">
        <w:rPr>
          <w:rFonts w:ascii="Bookman Old Style" w:hAnsi="Bookman Old Style"/>
        </w:rPr>
        <w:t>days’ notice</w:t>
      </w:r>
      <w:r>
        <w:rPr>
          <w:rFonts w:ascii="Bookman Old Style" w:hAnsi="Bookman Old Style"/>
        </w:rPr>
        <w:t xml:space="preserve"> in writing to opposing party of intent to use statements</w:t>
      </w:r>
      <w:r w:rsidR="008A4305">
        <w:rPr>
          <w:rFonts w:ascii="Bookman Old Style" w:hAnsi="Bookman Old Style"/>
        </w:rPr>
        <w:t xml:space="preserve"> and provide a copy of the statement the party seeks to introduce</w:t>
      </w:r>
    </w:p>
    <w:p w14:paraId="32F9598C" w14:textId="75DFD3DF" w:rsidR="00592FE7" w:rsidRDefault="00592FE7" w:rsidP="00D75E36">
      <w:pPr>
        <w:pStyle w:val="ListParagraph"/>
        <w:numPr>
          <w:ilvl w:val="1"/>
          <w:numId w:val="1"/>
        </w:numPr>
        <w:rPr>
          <w:rFonts w:ascii="Bookman Old Style" w:hAnsi="Bookman Old Style"/>
        </w:rPr>
      </w:pPr>
      <w:r>
        <w:rPr>
          <w:rFonts w:ascii="Bookman Old Style" w:hAnsi="Bookman Old Style"/>
        </w:rPr>
        <w:t>Re-written Rules of Evidence</w:t>
      </w:r>
    </w:p>
    <w:p w14:paraId="0C5F5285" w14:textId="22ED0C07" w:rsidR="00D75E36" w:rsidRDefault="00D75E36" w:rsidP="00592FE7">
      <w:pPr>
        <w:pStyle w:val="ListParagraph"/>
        <w:numPr>
          <w:ilvl w:val="2"/>
          <w:numId w:val="1"/>
        </w:numPr>
        <w:rPr>
          <w:rFonts w:ascii="Bookman Old Style" w:hAnsi="Bookman Old Style"/>
        </w:rPr>
      </w:pPr>
      <w:r>
        <w:rPr>
          <w:rFonts w:ascii="Bookman Old Style" w:hAnsi="Bookman Old Style"/>
        </w:rPr>
        <w:t>Rule 2:408</w:t>
      </w:r>
      <w:r w:rsidR="00592FE7">
        <w:rPr>
          <w:rFonts w:ascii="Bookman Old Style" w:hAnsi="Bookman Old Style"/>
        </w:rPr>
        <w:t>: Compromise Offers and Conduct or Statements during Negotiations</w:t>
      </w:r>
    </w:p>
    <w:p w14:paraId="6BD77F47" w14:textId="76FA441B" w:rsidR="00A96C7C" w:rsidRDefault="00A96C7C" w:rsidP="00A96C7C">
      <w:pPr>
        <w:pStyle w:val="ListParagraph"/>
        <w:numPr>
          <w:ilvl w:val="3"/>
          <w:numId w:val="1"/>
        </w:numPr>
        <w:rPr>
          <w:rFonts w:ascii="Bookman Old Style" w:hAnsi="Bookman Old Style"/>
        </w:rPr>
      </w:pPr>
      <w:r>
        <w:rPr>
          <w:rFonts w:ascii="Bookman Old Style" w:hAnsi="Bookman Old Style"/>
        </w:rPr>
        <w:t>New rule became effective July 1, 2016</w:t>
      </w:r>
    </w:p>
    <w:p w14:paraId="453AAC8C" w14:textId="24C5FFF1" w:rsidR="00A96C7C" w:rsidRPr="008A4305" w:rsidRDefault="00A96C7C" w:rsidP="00A96C7C">
      <w:pPr>
        <w:pStyle w:val="ListParagraph"/>
        <w:numPr>
          <w:ilvl w:val="3"/>
          <w:numId w:val="1"/>
        </w:numPr>
        <w:rPr>
          <w:rFonts w:ascii="Bookman Old Style" w:hAnsi="Bookman Old Style"/>
        </w:rPr>
      </w:pPr>
      <w:r>
        <w:rPr>
          <w:rFonts w:ascii="Bookman Old Style" w:hAnsi="Bookman Old Style"/>
        </w:rPr>
        <w:t xml:space="preserve">Takes out language that allows admissibility of </w:t>
      </w:r>
      <w:r w:rsidRPr="00A96C7C">
        <w:rPr>
          <w:rFonts w:ascii="Bookman Old Style" w:hAnsi="Bookman Old Style"/>
        </w:rPr>
        <w:t>“</w:t>
      </w:r>
      <w:r w:rsidRPr="00A96C7C">
        <w:rPr>
          <w:rFonts w:ascii="Bookman Old Style" w:hAnsi="Bookman Old Style" w:cs="Times New Roman"/>
        </w:rPr>
        <w:t xml:space="preserve">express admission of liability, or an admission concerning an independent fact pertinent to a question in issue, </w:t>
      </w:r>
      <w:r>
        <w:rPr>
          <w:rFonts w:ascii="Bookman Old Style" w:hAnsi="Bookman Old Style" w:cs="Times New Roman"/>
        </w:rPr>
        <w:t>. . .</w:t>
      </w:r>
      <w:r w:rsidRPr="00A96C7C">
        <w:rPr>
          <w:rFonts w:ascii="Bookman Old Style" w:hAnsi="Bookman Old Style" w:cs="Times New Roman"/>
        </w:rPr>
        <w:t>even if made during settlement negotiations.”</w:t>
      </w:r>
    </w:p>
    <w:p w14:paraId="55B5C67C" w14:textId="16A49208" w:rsidR="008A4305" w:rsidRPr="008A4305" w:rsidRDefault="008A4305" w:rsidP="00A96C7C">
      <w:pPr>
        <w:pStyle w:val="ListParagraph"/>
        <w:numPr>
          <w:ilvl w:val="3"/>
          <w:numId w:val="1"/>
        </w:numPr>
        <w:rPr>
          <w:rFonts w:ascii="Bookman Old Style" w:hAnsi="Bookman Old Style"/>
        </w:rPr>
      </w:pPr>
      <w:r>
        <w:rPr>
          <w:rFonts w:ascii="Bookman Old Style" w:hAnsi="Bookman Old Style"/>
        </w:rPr>
        <w:lastRenderedPageBreak/>
        <w:t>Keeps out evidence of “</w:t>
      </w:r>
      <w:r w:rsidRPr="008A4305">
        <w:rPr>
          <w:rFonts w:ascii="Bookman Old Style" w:hAnsi="Bookman Old Style" w:cs="Times New Roman"/>
          <w:color w:val="1A1A1A"/>
        </w:rPr>
        <w:t>furnishing, promising, or offering - or accepting, promising to accept, or offering to accept - a valuable consideration in compromising or attempting to compromise the claim</w:t>
      </w:r>
      <w:r w:rsidR="00AA2869">
        <w:rPr>
          <w:rFonts w:ascii="Bookman Old Style" w:hAnsi="Bookman Old Style" w:cs="Times New Roman"/>
          <w:color w:val="1A1A1A"/>
        </w:rPr>
        <w:t xml:space="preserve"> . . .</w:t>
      </w:r>
      <w:r w:rsidRPr="008A4305">
        <w:rPr>
          <w:rFonts w:ascii="Bookman Old Style" w:hAnsi="Bookman Old Style" w:cs="Times New Roman"/>
          <w:color w:val="1A1A1A"/>
        </w:rPr>
        <w:t>”</w:t>
      </w:r>
    </w:p>
    <w:p w14:paraId="5921FDAD" w14:textId="33557C66" w:rsidR="008A4305" w:rsidRPr="00AA2869" w:rsidRDefault="008A4305" w:rsidP="00A96C7C">
      <w:pPr>
        <w:pStyle w:val="ListParagraph"/>
        <w:numPr>
          <w:ilvl w:val="3"/>
          <w:numId w:val="1"/>
        </w:numPr>
        <w:rPr>
          <w:rFonts w:ascii="Bookman Old Style" w:hAnsi="Bookman Old Style"/>
        </w:rPr>
      </w:pPr>
      <w:r>
        <w:rPr>
          <w:rFonts w:ascii="Bookman Old Style" w:hAnsi="Bookman Old Style" w:cs="Times New Roman"/>
          <w:color w:val="1A1A1A"/>
        </w:rPr>
        <w:t xml:space="preserve">Also keeps out </w:t>
      </w:r>
      <w:r w:rsidRPr="008A4305">
        <w:rPr>
          <w:rFonts w:ascii="Bookman Old Style" w:hAnsi="Bookman Old Style" w:cs="Times New Roman"/>
          <w:color w:val="1A1A1A"/>
        </w:rPr>
        <w:t>“</w:t>
      </w:r>
      <w:r w:rsidR="00AA2869">
        <w:rPr>
          <w:rFonts w:ascii="Bookman Old Style" w:hAnsi="Bookman Old Style" w:cs="Times New Roman"/>
          <w:color w:val="1A1A1A"/>
        </w:rPr>
        <w:t>. . .</w:t>
      </w:r>
      <w:r w:rsidRPr="008A4305">
        <w:rPr>
          <w:rFonts w:ascii="Bookman Old Style" w:hAnsi="Bookman Old Style" w:cs="Times New Roman"/>
          <w:color w:val="1A1A1A"/>
        </w:rPr>
        <w:t>conduct or any statements made during compromise negotiations about the claim</w:t>
      </w:r>
      <w:r w:rsidR="00AA2869">
        <w:rPr>
          <w:rFonts w:ascii="Bookman Old Style" w:hAnsi="Bookman Old Style" w:cs="Times New Roman"/>
          <w:color w:val="1A1A1A"/>
        </w:rPr>
        <w:t>.</w:t>
      </w:r>
      <w:r w:rsidRPr="008A4305">
        <w:rPr>
          <w:rFonts w:ascii="Bookman Old Style" w:hAnsi="Bookman Old Style" w:cs="Times New Roman"/>
          <w:color w:val="1A1A1A"/>
        </w:rPr>
        <w:t>”</w:t>
      </w:r>
    </w:p>
    <w:p w14:paraId="71921138" w14:textId="2E351231" w:rsidR="00AA2869" w:rsidRPr="00A96C7C" w:rsidRDefault="00395D18" w:rsidP="00A96C7C">
      <w:pPr>
        <w:pStyle w:val="ListParagraph"/>
        <w:numPr>
          <w:ilvl w:val="3"/>
          <w:numId w:val="1"/>
        </w:numPr>
        <w:rPr>
          <w:rFonts w:ascii="Bookman Old Style" w:hAnsi="Bookman Old Style"/>
        </w:rPr>
      </w:pPr>
      <w:r>
        <w:rPr>
          <w:rFonts w:ascii="Bookman Old Style" w:hAnsi="Bookman Old Style" w:cs="Times New Roman"/>
          <w:color w:val="1A1A1A"/>
        </w:rPr>
        <w:t>Such evidence can still be used</w:t>
      </w:r>
      <w:r w:rsidR="00AA2869">
        <w:rPr>
          <w:rFonts w:ascii="Bookman Old Style" w:hAnsi="Bookman Old Style" w:cs="Times New Roman"/>
          <w:color w:val="1A1A1A"/>
        </w:rPr>
        <w:t xml:space="preserve"> to show witness’s bias or prejudice or negate a claim of undue delay.</w:t>
      </w:r>
    </w:p>
    <w:p w14:paraId="5AF87646" w14:textId="537FE237" w:rsidR="00A96C7C" w:rsidRPr="008A4305" w:rsidRDefault="00395D18" w:rsidP="00A96C7C">
      <w:pPr>
        <w:pStyle w:val="ListParagraph"/>
        <w:numPr>
          <w:ilvl w:val="3"/>
          <w:numId w:val="1"/>
        </w:numPr>
        <w:rPr>
          <w:rFonts w:ascii="Bookman Old Style" w:hAnsi="Bookman Old Style"/>
        </w:rPr>
      </w:pPr>
      <w:r>
        <w:rPr>
          <w:rFonts w:ascii="Bookman Old Style" w:hAnsi="Bookman Old Style" w:cs="Times New Roman"/>
        </w:rPr>
        <w:t xml:space="preserve">This re-working of the rule gives </w:t>
      </w:r>
      <w:r w:rsidR="00A96C7C">
        <w:rPr>
          <w:rFonts w:ascii="Bookman Old Style" w:hAnsi="Bookman Old Style" w:cs="Times New Roman"/>
        </w:rPr>
        <w:t xml:space="preserve">stronger protection to statements made </w:t>
      </w:r>
      <w:r w:rsidR="00AA2869">
        <w:rPr>
          <w:rFonts w:ascii="Bookman Old Style" w:hAnsi="Bookman Old Style" w:cs="Times New Roman"/>
        </w:rPr>
        <w:t>during</w:t>
      </w:r>
      <w:r w:rsidR="00A96C7C">
        <w:rPr>
          <w:rFonts w:ascii="Bookman Old Style" w:hAnsi="Bookman Old Style" w:cs="Times New Roman"/>
        </w:rPr>
        <w:t xml:space="preserve"> settlement negotiations</w:t>
      </w:r>
      <w:r w:rsidR="00AA2869">
        <w:rPr>
          <w:rFonts w:ascii="Bookman Old Style" w:hAnsi="Bookman Old Style" w:cs="Times New Roman"/>
        </w:rPr>
        <w:t>.</w:t>
      </w:r>
    </w:p>
    <w:p w14:paraId="15752B46" w14:textId="5D295B68" w:rsidR="008A4305" w:rsidRDefault="008A4305" w:rsidP="00A96C7C">
      <w:pPr>
        <w:pStyle w:val="ListParagraph"/>
        <w:numPr>
          <w:ilvl w:val="3"/>
          <w:numId w:val="1"/>
        </w:numPr>
        <w:rPr>
          <w:rFonts w:ascii="Bookman Old Style" w:hAnsi="Bookman Old Style"/>
        </w:rPr>
      </w:pPr>
      <w:r>
        <w:rPr>
          <w:rFonts w:ascii="Bookman Old Style" w:hAnsi="Bookman Old Style" w:cs="Times New Roman"/>
        </w:rPr>
        <w:t>Does not exclude any documents or physical evidence that existed prior to the existence of compromise negotiations</w:t>
      </w:r>
      <w:r w:rsidR="00AA2869">
        <w:rPr>
          <w:rFonts w:ascii="Bookman Old Style" w:hAnsi="Bookman Old Style" w:cs="Times New Roman"/>
        </w:rPr>
        <w:t>.</w:t>
      </w:r>
    </w:p>
    <w:p w14:paraId="27D7A1EF" w14:textId="00716962" w:rsidR="00592FE7" w:rsidRDefault="00592FE7" w:rsidP="00592FE7">
      <w:pPr>
        <w:pStyle w:val="ListParagraph"/>
        <w:numPr>
          <w:ilvl w:val="2"/>
          <w:numId w:val="1"/>
        </w:numPr>
        <w:rPr>
          <w:rFonts w:ascii="Bookman Old Style" w:hAnsi="Bookman Old Style"/>
        </w:rPr>
      </w:pPr>
      <w:r>
        <w:rPr>
          <w:rFonts w:ascii="Bookman Old Style" w:hAnsi="Bookman Old Style"/>
        </w:rPr>
        <w:t>Rule 2:615: Exclusion of Witnesses</w:t>
      </w:r>
    </w:p>
    <w:p w14:paraId="7EEF03C5" w14:textId="2DE62FE8" w:rsidR="00A96C7C" w:rsidRPr="00A96C7C" w:rsidRDefault="00A96C7C" w:rsidP="00A96C7C">
      <w:pPr>
        <w:pStyle w:val="ListParagraph"/>
        <w:numPr>
          <w:ilvl w:val="3"/>
          <w:numId w:val="1"/>
        </w:numPr>
        <w:rPr>
          <w:rFonts w:ascii="Bookman Old Style" w:hAnsi="Bookman Old Style"/>
        </w:rPr>
      </w:pPr>
      <w:r>
        <w:rPr>
          <w:rFonts w:ascii="Bookman Old Style" w:hAnsi="Bookman Old Style"/>
        </w:rPr>
        <w:t xml:space="preserve">Only change is </w:t>
      </w:r>
      <w:r w:rsidR="00395D18">
        <w:rPr>
          <w:rFonts w:ascii="Bookman Old Style" w:hAnsi="Bookman Old Style"/>
        </w:rPr>
        <w:t>addition</w:t>
      </w:r>
      <w:r>
        <w:rPr>
          <w:rFonts w:ascii="Bookman Old Style" w:hAnsi="Bookman Old Style"/>
        </w:rPr>
        <w:t xml:space="preserve"> of language </w:t>
      </w:r>
      <w:r w:rsidRPr="00A96C7C">
        <w:rPr>
          <w:rFonts w:ascii="Bookman Old Style" w:hAnsi="Bookman Old Style"/>
        </w:rPr>
        <w:t>“</w:t>
      </w:r>
      <w:r w:rsidRPr="00A96C7C">
        <w:rPr>
          <w:rFonts w:ascii="Bookman Old Style" w:hAnsi="Bookman Old Style" w:cs="Times New Roman"/>
        </w:rPr>
        <w:t>and in an unlawful detainer action filed in general district court, a managing agent as defined in § 55-248.4…”</w:t>
      </w:r>
    </w:p>
    <w:p w14:paraId="355ACC49" w14:textId="72C89FBC" w:rsidR="00A96C7C" w:rsidRDefault="00A96C7C" w:rsidP="00A96C7C">
      <w:pPr>
        <w:pStyle w:val="ListParagraph"/>
        <w:numPr>
          <w:ilvl w:val="3"/>
          <w:numId w:val="1"/>
        </w:numPr>
        <w:rPr>
          <w:rFonts w:ascii="Bookman Old Style" w:hAnsi="Bookman Old Style"/>
        </w:rPr>
      </w:pPr>
      <w:r>
        <w:rPr>
          <w:rFonts w:ascii="Bookman Old Style" w:hAnsi="Bookman Old Style" w:cs="Times New Roman"/>
        </w:rPr>
        <w:t>This allows a managing agent in an unlawful detainer agent to be exempt from exclusion</w:t>
      </w:r>
      <w:r w:rsidR="00395D18">
        <w:rPr>
          <w:rFonts w:ascii="Bookman Old Style" w:hAnsi="Bookman Old Style" w:cs="Times New Roman"/>
        </w:rPr>
        <w:t xml:space="preserve"> during trial.</w:t>
      </w:r>
    </w:p>
    <w:p w14:paraId="26B85E6E" w14:textId="5EB222E1" w:rsidR="00592FE7" w:rsidRDefault="00592FE7" w:rsidP="00592FE7">
      <w:pPr>
        <w:pStyle w:val="ListParagraph"/>
        <w:numPr>
          <w:ilvl w:val="1"/>
          <w:numId w:val="1"/>
        </w:numPr>
        <w:rPr>
          <w:rFonts w:ascii="Bookman Old Style" w:hAnsi="Bookman Old Style"/>
        </w:rPr>
      </w:pPr>
      <w:r>
        <w:rPr>
          <w:rFonts w:ascii="Bookman Old Style" w:hAnsi="Bookman Old Style"/>
        </w:rPr>
        <w:t>Prospective Changes</w:t>
      </w:r>
    </w:p>
    <w:p w14:paraId="57AA08A8" w14:textId="36AFDFA4" w:rsidR="009769D4" w:rsidRPr="009769D4" w:rsidRDefault="00592FE7" w:rsidP="009769D4">
      <w:pPr>
        <w:pStyle w:val="ListParagraph"/>
        <w:numPr>
          <w:ilvl w:val="2"/>
          <w:numId w:val="1"/>
        </w:numPr>
        <w:rPr>
          <w:rFonts w:ascii="Bookman Old Style" w:hAnsi="Bookman Old Style"/>
        </w:rPr>
      </w:pPr>
      <w:r>
        <w:rPr>
          <w:rFonts w:ascii="Bookman Old Style" w:hAnsi="Bookman Old Style"/>
        </w:rPr>
        <w:t>Rule 2:607: Incompetency of Witnesses</w:t>
      </w:r>
    </w:p>
    <w:p w14:paraId="69C2E564" w14:textId="4917A2C8" w:rsidR="009769D4" w:rsidRPr="009769D4" w:rsidRDefault="009769D4" w:rsidP="009769D4">
      <w:pPr>
        <w:pStyle w:val="p2"/>
        <w:numPr>
          <w:ilvl w:val="3"/>
          <w:numId w:val="1"/>
        </w:numPr>
        <w:rPr>
          <w:rFonts w:ascii="Bookman Old Style" w:hAnsi="Bookman Old Style"/>
          <w:sz w:val="24"/>
          <w:szCs w:val="24"/>
        </w:rPr>
      </w:pPr>
      <w:r w:rsidRPr="009769D4">
        <w:rPr>
          <w:rFonts w:ascii="Bookman Old Style" w:hAnsi="Bookman Old Style"/>
          <w:sz w:val="24"/>
          <w:szCs w:val="24"/>
        </w:rPr>
        <w:t>The Rule currently provides that "[s]ubject to the provisions of Rule 2:403, the credibility of a witness may be impeached by any party other than the one calling the witness, with any proof that is relevant to the witness's credibility."</w:t>
      </w:r>
      <w:r w:rsidRPr="009769D4">
        <w:rPr>
          <w:rStyle w:val="apple-converted-space"/>
          <w:rFonts w:ascii="Bookman Old Style" w:hAnsi="Bookman Old Style"/>
          <w:sz w:val="24"/>
          <w:szCs w:val="24"/>
        </w:rPr>
        <w:t> </w:t>
      </w:r>
    </w:p>
    <w:p w14:paraId="74E70F1B" w14:textId="5F3B8095" w:rsidR="009769D4" w:rsidRPr="009769D4" w:rsidRDefault="009769D4" w:rsidP="009769D4">
      <w:pPr>
        <w:pStyle w:val="p2"/>
        <w:numPr>
          <w:ilvl w:val="3"/>
          <w:numId w:val="1"/>
        </w:numPr>
        <w:rPr>
          <w:rFonts w:ascii="Bookman Old Style" w:hAnsi="Bookman Old Style"/>
          <w:sz w:val="24"/>
          <w:szCs w:val="24"/>
        </w:rPr>
      </w:pPr>
      <w:r w:rsidRPr="009769D4">
        <w:rPr>
          <w:rFonts w:ascii="Bookman Old Style" w:hAnsi="Bookman Old Style"/>
          <w:sz w:val="24"/>
          <w:szCs w:val="24"/>
        </w:rPr>
        <w:t>Committee wishes to consider whether to recommend revision of this rule to allow any party, including the party that has called the witness, to impeach the witness (as is permitted in federal court and a majority of the states).</w:t>
      </w:r>
      <w:r w:rsidRPr="009769D4">
        <w:rPr>
          <w:rStyle w:val="apple-converted-space"/>
          <w:rFonts w:ascii="Bookman Old Style" w:hAnsi="Bookman Old Style"/>
          <w:sz w:val="24"/>
          <w:szCs w:val="24"/>
        </w:rPr>
        <w:t> </w:t>
      </w:r>
    </w:p>
    <w:p w14:paraId="131C4DEE" w14:textId="038AE7E4" w:rsidR="003B75F2" w:rsidRPr="003B75F2" w:rsidRDefault="003B75F2" w:rsidP="003B75F2">
      <w:pPr>
        <w:pStyle w:val="ListParagraph"/>
        <w:numPr>
          <w:ilvl w:val="3"/>
          <w:numId w:val="1"/>
        </w:numPr>
        <w:rPr>
          <w:rFonts w:ascii="Bookman Old Style" w:hAnsi="Bookman Old Style"/>
        </w:rPr>
      </w:pPr>
      <w:r>
        <w:rPr>
          <w:rFonts w:ascii="Bookman Old Style" w:hAnsi="Bookman Old Style"/>
        </w:rPr>
        <w:t>Still would not allow party to call witness solely to impeach them</w:t>
      </w:r>
    </w:p>
    <w:p w14:paraId="67D30A23" w14:textId="77777777" w:rsidR="00BA54FE" w:rsidRDefault="00BA54FE" w:rsidP="00BA54FE">
      <w:pPr>
        <w:pStyle w:val="ListParagraph"/>
        <w:ind w:left="2160"/>
        <w:rPr>
          <w:rFonts w:ascii="Bookman Old Style" w:hAnsi="Bookman Old Style"/>
        </w:rPr>
      </w:pPr>
    </w:p>
    <w:p w14:paraId="1AA67F61" w14:textId="0C7487D6" w:rsidR="00592FE7" w:rsidRDefault="00592FE7" w:rsidP="00592FE7">
      <w:pPr>
        <w:pStyle w:val="ListParagraph"/>
        <w:numPr>
          <w:ilvl w:val="0"/>
          <w:numId w:val="1"/>
        </w:numPr>
        <w:rPr>
          <w:rFonts w:ascii="Bookman Old Style" w:hAnsi="Bookman Old Style"/>
        </w:rPr>
      </w:pPr>
      <w:r>
        <w:rPr>
          <w:rFonts w:ascii="Bookman Old Style" w:hAnsi="Bookman Old Style"/>
        </w:rPr>
        <w:t>Update on Supreme Court of Virginia decisions on Evidence</w:t>
      </w:r>
    </w:p>
    <w:p w14:paraId="19E49079" w14:textId="0600FC5E" w:rsidR="00592FE7" w:rsidRDefault="00592FE7" w:rsidP="00592FE7">
      <w:pPr>
        <w:pStyle w:val="ListParagraph"/>
        <w:numPr>
          <w:ilvl w:val="1"/>
          <w:numId w:val="1"/>
        </w:numPr>
        <w:rPr>
          <w:rFonts w:ascii="Bookman Old Style" w:hAnsi="Bookman Old Style"/>
        </w:rPr>
      </w:pPr>
      <w:r>
        <w:rPr>
          <w:rFonts w:ascii="Bookman Old Style" w:hAnsi="Bookman Old Style"/>
        </w:rPr>
        <w:t xml:space="preserve">Rule 2:201: </w:t>
      </w:r>
      <w:r w:rsidR="00B4307C">
        <w:rPr>
          <w:rFonts w:ascii="Bookman Old Style" w:hAnsi="Bookman Old Style"/>
        </w:rPr>
        <w:t>Judicial Note of Adjudicative Facts</w:t>
      </w:r>
    </w:p>
    <w:p w14:paraId="3C9120E3" w14:textId="0F0CF9E5" w:rsidR="00EA01BF" w:rsidRDefault="00EA01BF" w:rsidP="00EA01BF">
      <w:pPr>
        <w:pStyle w:val="ListParagraph"/>
        <w:numPr>
          <w:ilvl w:val="2"/>
          <w:numId w:val="1"/>
        </w:numPr>
        <w:rPr>
          <w:rFonts w:ascii="Bookman Old Style" w:hAnsi="Bookman Old Style"/>
        </w:rPr>
      </w:pPr>
      <w:r>
        <w:rPr>
          <w:rFonts w:ascii="Bookman Old Style" w:hAnsi="Bookman Old Style"/>
          <w:u w:val="single"/>
        </w:rPr>
        <w:t>Williams v. Commonwealth</w:t>
      </w:r>
      <w:r>
        <w:rPr>
          <w:rFonts w:ascii="Bookman Old Style" w:hAnsi="Bookman Old Style"/>
        </w:rPr>
        <w:t>, 289 Va. 326 (2015)</w:t>
      </w:r>
    </w:p>
    <w:p w14:paraId="5A7DD30F" w14:textId="43003E66" w:rsidR="003355A1" w:rsidRDefault="003355A1" w:rsidP="000A522E">
      <w:pPr>
        <w:pStyle w:val="ListParagraph"/>
        <w:numPr>
          <w:ilvl w:val="3"/>
          <w:numId w:val="1"/>
        </w:numPr>
        <w:rPr>
          <w:rFonts w:ascii="Bookman Old Style" w:hAnsi="Bookman Old Style"/>
        </w:rPr>
      </w:pPr>
      <w:r>
        <w:rPr>
          <w:rFonts w:ascii="Bookman Old Style" w:hAnsi="Bookman Old Style"/>
        </w:rPr>
        <w:t xml:space="preserve">Uncover officer sought to purchase cocaine from defendant. Defendant agreed to sell him cocaine at location A but then instruction officer to drive to location B where the sale actually occurred. </w:t>
      </w:r>
    </w:p>
    <w:p w14:paraId="7B66B421" w14:textId="7B352DC6" w:rsidR="003355A1" w:rsidRDefault="003355A1" w:rsidP="000A522E">
      <w:pPr>
        <w:pStyle w:val="ListParagraph"/>
        <w:numPr>
          <w:ilvl w:val="3"/>
          <w:numId w:val="1"/>
        </w:numPr>
        <w:rPr>
          <w:rFonts w:ascii="Bookman Old Style" w:hAnsi="Bookman Old Style"/>
        </w:rPr>
      </w:pPr>
      <w:r>
        <w:rPr>
          <w:rFonts w:ascii="Bookman Old Style" w:hAnsi="Bookman Old Style"/>
        </w:rPr>
        <w:t>At trial undercover officer testified that location A was within the city limits but did not testify as to whether location B was within the city limits.</w:t>
      </w:r>
    </w:p>
    <w:p w14:paraId="2DB87AF1" w14:textId="5BFFB0F9" w:rsidR="000A522E" w:rsidRPr="000A522E" w:rsidRDefault="000A522E" w:rsidP="000A522E">
      <w:pPr>
        <w:pStyle w:val="ListParagraph"/>
        <w:numPr>
          <w:ilvl w:val="3"/>
          <w:numId w:val="1"/>
        </w:numPr>
        <w:rPr>
          <w:rFonts w:ascii="Bookman Old Style" w:hAnsi="Bookman Old Style"/>
        </w:rPr>
      </w:pPr>
      <w:r>
        <w:rPr>
          <w:rFonts w:ascii="Bookman Old Style" w:hAnsi="Bookman Old Style"/>
        </w:rPr>
        <w:t xml:space="preserve">Defendant made a </w:t>
      </w:r>
      <w:r w:rsidR="003B75F2">
        <w:rPr>
          <w:rFonts w:ascii="Bookman Old Style" w:hAnsi="Bookman Old Style"/>
        </w:rPr>
        <w:t>Motion to S</w:t>
      </w:r>
      <w:r>
        <w:rPr>
          <w:rFonts w:ascii="Bookman Old Style" w:hAnsi="Bookman Old Style"/>
        </w:rPr>
        <w:t>trike for failure to establish v</w:t>
      </w:r>
      <w:r w:rsidR="003B75F2">
        <w:rPr>
          <w:rFonts w:ascii="Bookman Old Style" w:hAnsi="Bookman Old Style"/>
        </w:rPr>
        <w:t>enue</w:t>
      </w:r>
      <w:r>
        <w:rPr>
          <w:rFonts w:ascii="Bookman Old Style" w:hAnsi="Bookman Old Style"/>
        </w:rPr>
        <w:t xml:space="preserve"> because un</w:t>
      </w:r>
      <w:r w:rsidR="003355A1">
        <w:rPr>
          <w:rFonts w:ascii="Bookman Old Style" w:hAnsi="Bookman Old Style"/>
        </w:rPr>
        <w:t>der</w:t>
      </w:r>
      <w:r>
        <w:rPr>
          <w:rFonts w:ascii="Bookman Old Style" w:hAnsi="Bookman Old Style"/>
        </w:rPr>
        <w:t xml:space="preserve">cover officer did not </w:t>
      </w:r>
      <w:r>
        <w:rPr>
          <w:rFonts w:ascii="Bookman Old Style" w:hAnsi="Bookman Old Style"/>
        </w:rPr>
        <w:lastRenderedPageBreak/>
        <w:t>testify as to the location of the street where he purchased cocaine from defendant.</w:t>
      </w:r>
    </w:p>
    <w:p w14:paraId="58A54998" w14:textId="13CD8C8A" w:rsidR="003B75F2" w:rsidRDefault="000A522E" w:rsidP="003B75F2">
      <w:pPr>
        <w:pStyle w:val="ListParagraph"/>
        <w:numPr>
          <w:ilvl w:val="3"/>
          <w:numId w:val="1"/>
        </w:numPr>
        <w:rPr>
          <w:rFonts w:ascii="Bookman Old Style" w:hAnsi="Bookman Old Style"/>
        </w:rPr>
      </w:pPr>
      <w:r>
        <w:rPr>
          <w:rFonts w:ascii="Bookman Old Style" w:hAnsi="Bookman Old Style"/>
        </w:rPr>
        <w:t>Court denied motion and Court of Appeals upheld because found that Circuit Court took judicial notice of where street was located.</w:t>
      </w:r>
    </w:p>
    <w:p w14:paraId="55856F35" w14:textId="64271DF7" w:rsidR="000A522E" w:rsidRDefault="000A522E" w:rsidP="003B75F2">
      <w:pPr>
        <w:pStyle w:val="ListParagraph"/>
        <w:numPr>
          <w:ilvl w:val="3"/>
          <w:numId w:val="1"/>
        </w:numPr>
        <w:rPr>
          <w:rFonts w:ascii="Bookman Old Style" w:hAnsi="Bookman Old Style"/>
        </w:rPr>
      </w:pPr>
      <w:r>
        <w:rPr>
          <w:rFonts w:ascii="Bookman Old Style" w:hAnsi="Bookman Old Style"/>
        </w:rPr>
        <w:t>Supreme Court found that Circuit Court had not taken judicial notice of location and could not because location of street was not common knowledge.</w:t>
      </w:r>
    </w:p>
    <w:p w14:paraId="74B70970" w14:textId="5DB6BBD9" w:rsidR="00592FE7" w:rsidRDefault="00592FE7" w:rsidP="00592FE7">
      <w:pPr>
        <w:pStyle w:val="ListParagraph"/>
        <w:numPr>
          <w:ilvl w:val="1"/>
          <w:numId w:val="1"/>
        </w:numPr>
        <w:rPr>
          <w:rFonts w:ascii="Bookman Old Style" w:hAnsi="Bookman Old Style"/>
        </w:rPr>
      </w:pPr>
      <w:r>
        <w:rPr>
          <w:rFonts w:ascii="Bookman Old Style" w:hAnsi="Bookman Old Style"/>
        </w:rPr>
        <w:t>Rule 2:401:</w:t>
      </w:r>
      <w:r w:rsidR="00B4307C">
        <w:rPr>
          <w:rFonts w:ascii="Bookman Old Style" w:hAnsi="Bookman Old Style"/>
        </w:rPr>
        <w:t xml:space="preserve"> Definition of “Relevant Evidence”</w:t>
      </w:r>
    </w:p>
    <w:p w14:paraId="28438EE7" w14:textId="4F66B0C6" w:rsidR="00BA54FE" w:rsidRDefault="00B4307C" w:rsidP="00BA54FE">
      <w:pPr>
        <w:pStyle w:val="ListParagraph"/>
        <w:numPr>
          <w:ilvl w:val="2"/>
          <w:numId w:val="1"/>
        </w:numPr>
        <w:rPr>
          <w:rFonts w:ascii="Bookman Old Style" w:hAnsi="Bookman Old Style"/>
        </w:rPr>
      </w:pPr>
      <w:r>
        <w:rPr>
          <w:rFonts w:ascii="Bookman Old Style" w:hAnsi="Bookman Old Style"/>
          <w:u w:val="single"/>
        </w:rPr>
        <w:t>Payne v. Commonwealth</w:t>
      </w:r>
      <w:r w:rsidR="00BA54FE">
        <w:rPr>
          <w:rFonts w:ascii="Bookman Old Style" w:hAnsi="Bookman Old Style"/>
        </w:rPr>
        <w:t xml:space="preserve">, </w:t>
      </w:r>
      <w:r w:rsidR="00613E0A">
        <w:rPr>
          <w:rFonts w:ascii="Bookman Old Style" w:hAnsi="Bookman Old Style"/>
        </w:rPr>
        <w:t>2016 Va. LEXIS 209</w:t>
      </w:r>
      <w:r w:rsidR="00BA54FE">
        <w:rPr>
          <w:rFonts w:ascii="Bookman Old Style" w:hAnsi="Bookman Old Style"/>
        </w:rPr>
        <w:t xml:space="preserve"> </w:t>
      </w:r>
      <w:r w:rsidR="00051586">
        <w:rPr>
          <w:rFonts w:ascii="Bookman Old Style" w:hAnsi="Bookman Old Style"/>
        </w:rPr>
        <w:t>(</w:t>
      </w:r>
      <w:r w:rsidR="00BA54FE">
        <w:rPr>
          <w:rFonts w:ascii="Bookman Old Style" w:hAnsi="Bookman Old Style"/>
        </w:rPr>
        <w:t>2016)</w:t>
      </w:r>
    </w:p>
    <w:p w14:paraId="4BB584C4" w14:textId="595960B3" w:rsidR="000A522E" w:rsidRDefault="00440733" w:rsidP="000A522E">
      <w:pPr>
        <w:pStyle w:val="ListParagraph"/>
        <w:numPr>
          <w:ilvl w:val="3"/>
          <w:numId w:val="1"/>
        </w:numPr>
        <w:rPr>
          <w:rFonts w:ascii="Bookman Old Style" w:hAnsi="Bookman Old Style"/>
        </w:rPr>
      </w:pPr>
      <w:r>
        <w:rPr>
          <w:rFonts w:ascii="Bookman Old Style" w:hAnsi="Bookman Old Style"/>
        </w:rPr>
        <w:t>Victim was robbed while responding to an internet advertisement for the sale of a computer.</w:t>
      </w:r>
      <w:r w:rsidR="00177B31">
        <w:rPr>
          <w:rFonts w:ascii="Bookman Old Style" w:hAnsi="Bookman Old Style"/>
        </w:rPr>
        <w:t xml:space="preserve"> Victim identified the man who robbed him through a photo lineup.</w:t>
      </w:r>
    </w:p>
    <w:p w14:paraId="54DF9ED9" w14:textId="2BD7A40D" w:rsidR="00177B31" w:rsidRDefault="00177B31" w:rsidP="000A522E">
      <w:pPr>
        <w:pStyle w:val="ListParagraph"/>
        <w:numPr>
          <w:ilvl w:val="3"/>
          <w:numId w:val="1"/>
        </w:numPr>
        <w:rPr>
          <w:rFonts w:ascii="Bookman Old Style" w:hAnsi="Bookman Old Style"/>
        </w:rPr>
      </w:pPr>
      <w:r>
        <w:rPr>
          <w:rFonts w:ascii="Bookman Old Style" w:hAnsi="Bookman Old Style"/>
        </w:rPr>
        <w:t xml:space="preserve">Detective in the case sent an email expressing concern about the identification because two of the suspects </w:t>
      </w:r>
      <w:r w:rsidR="003B009E">
        <w:rPr>
          <w:rFonts w:ascii="Bookman Old Style" w:hAnsi="Bookman Old Style"/>
        </w:rPr>
        <w:t>were similar in appearance</w:t>
      </w:r>
      <w:r>
        <w:rPr>
          <w:rFonts w:ascii="Bookman Old Style" w:hAnsi="Bookman Old Style"/>
        </w:rPr>
        <w:t>.</w:t>
      </w:r>
      <w:r w:rsidR="008612E6">
        <w:rPr>
          <w:rFonts w:ascii="Bookman Old Style" w:hAnsi="Bookman Old Style"/>
        </w:rPr>
        <w:t xml:space="preserve"> </w:t>
      </w:r>
    </w:p>
    <w:p w14:paraId="346D43B0" w14:textId="1D878D7D" w:rsidR="008612E6" w:rsidRDefault="008612E6" w:rsidP="000A522E">
      <w:pPr>
        <w:pStyle w:val="ListParagraph"/>
        <w:numPr>
          <w:ilvl w:val="3"/>
          <w:numId w:val="1"/>
        </w:numPr>
        <w:rPr>
          <w:rFonts w:ascii="Bookman Old Style" w:hAnsi="Bookman Old Style"/>
        </w:rPr>
      </w:pPr>
      <w:r>
        <w:rPr>
          <w:rFonts w:ascii="Bookman Old Style" w:hAnsi="Bookman Old Style"/>
        </w:rPr>
        <w:t>Defendant sought to admit the email; the trial court admitted a heavily redacted version</w:t>
      </w:r>
      <w:r w:rsidR="003B009E">
        <w:rPr>
          <w:rFonts w:ascii="Bookman Old Style" w:hAnsi="Bookman Old Style"/>
        </w:rPr>
        <w:t xml:space="preserve"> of the email.</w:t>
      </w:r>
    </w:p>
    <w:p w14:paraId="1C77B915" w14:textId="4B93C56A" w:rsidR="009775FC" w:rsidRDefault="009775FC" w:rsidP="000A522E">
      <w:pPr>
        <w:pStyle w:val="ListParagraph"/>
        <w:numPr>
          <w:ilvl w:val="3"/>
          <w:numId w:val="1"/>
        </w:numPr>
        <w:rPr>
          <w:rFonts w:ascii="Bookman Old Style" w:hAnsi="Bookman Old Style"/>
        </w:rPr>
      </w:pPr>
      <w:r>
        <w:rPr>
          <w:rFonts w:ascii="Bookman Old Style" w:hAnsi="Bookman Old Style"/>
        </w:rPr>
        <w:t xml:space="preserve">Defendant argued that the email showed evidence discrediting a police investigation and therefore was relevant. </w:t>
      </w:r>
    </w:p>
    <w:p w14:paraId="7F0945B3" w14:textId="16B672A8" w:rsidR="009775FC" w:rsidRDefault="009775FC" w:rsidP="000A522E">
      <w:pPr>
        <w:pStyle w:val="ListParagraph"/>
        <w:numPr>
          <w:ilvl w:val="3"/>
          <w:numId w:val="1"/>
        </w:numPr>
        <w:rPr>
          <w:rFonts w:ascii="Bookman Old Style" w:hAnsi="Bookman Old Style"/>
        </w:rPr>
      </w:pPr>
      <w:r>
        <w:rPr>
          <w:rFonts w:ascii="Bookman Old Style" w:hAnsi="Bookman Old Style"/>
        </w:rPr>
        <w:t>The Supreme Court agreed that evidence discrediting an investigation is releva</w:t>
      </w:r>
      <w:r w:rsidR="003B009E">
        <w:rPr>
          <w:rFonts w:ascii="Bookman Old Style" w:hAnsi="Bookman Old Style"/>
        </w:rPr>
        <w:t xml:space="preserve">nt but the redacted information at issue in this case </w:t>
      </w:r>
      <w:r>
        <w:rPr>
          <w:rFonts w:ascii="Bookman Old Style" w:hAnsi="Bookman Old Style"/>
        </w:rPr>
        <w:t>was not relevant because it did not tend to discredit the investigation.</w:t>
      </w:r>
    </w:p>
    <w:p w14:paraId="47E7D6C3" w14:textId="74E8E166" w:rsidR="008063EA" w:rsidRDefault="008063EA" w:rsidP="008063EA">
      <w:pPr>
        <w:pStyle w:val="ListParagraph"/>
        <w:numPr>
          <w:ilvl w:val="2"/>
          <w:numId w:val="1"/>
        </w:numPr>
        <w:rPr>
          <w:rFonts w:ascii="Bookman Old Style" w:hAnsi="Bookman Old Style"/>
        </w:rPr>
      </w:pPr>
      <w:r>
        <w:rPr>
          <w:rFonts w:ascii="Bookman Old Style" w:hAnsi="Bookman Old Style"/>
          <w:u w:val="single"/>
        </w:rPr>
        <w:t>Dorman v. State Industries, Inc.</w:t>
      </w:r>
      <w:r>
        <w:rPr>
          <w:rFonts w:ascii="Bookman Old Style" w:hAnsi="Bookman Old Style"/>
        </w:rPr>
        <w:t>, 292 Va. 111 (2016)</w:t>
      </w:r>
    </w:p>
    <w:p w14:paraId="0E7D3863" w14:textId="53E7948E" w:rsidR="008063EA" w:rsidRDefault="0046053F" w:rsidP="008063EA">
      <w:pPr>
        <w:pStyle w:val="ListParagraph"/>
        <w:numPr>
          <w:ilvl w:val="3"/>
          <w:numId w:val="1"/>
        </w:numPr>
        <w:rPr>
          <w:rFonts w:ascii="Bookman Old Style" w:hAnsi="Bookman Old Style"/>
        </w:rPr>
      </w:pPr>
      <w:r>
        <w:rPr>
          <w:rFonts w:ascii="Bookman Old Style" w:hAnsi="Bookman Old Style"/>
        </w:rPr>
        <w:t xml:space="preserve">Dorman moved into an apartment. Two days later high levels of carbon monoxide were detected at the door of the apartment. </w:t>
      </w:r>
      <w:r w:rsidR="001A45EE">
        <w:rPr>
          <w:rFonts w:ascii="Bookman Old Style" w:hAnsi="Bookman Old Style"/>
        </w:rPr>
        <w:t xml:space="preserve">The technician entered the apartment and found the occupants unconscious. </w:t>
      </w:r>
      <w:r>
        <w:rPr>
          <w:rFonts w:ascii="Bookman Old Style" w:hAnsi="Bookman Old Style"/>
        </w:rPr>
        <w:t xml:space="preserve">Five days later the atmospheric-vented gas hired hot water heater, manufactured by State, was tested. The carbon monoxide conditions were recreated with all the bedroom doors shut, the hot water heater running, and the air conditioner running. The hot water heater was not functioning properly. </w:t>
      </w:r>
    </w:p>
    <w:p w14:paraId="01475A67" w14:textId="13F1CDD6" w:rsidR="00B21A13" w:rsidRDefault="00B21A13" w:rsidP="008063EA">
      <w:pPr>
        <w:pStyle w:val="ListParagraph"/>
        <w:numPr>
          <w:ilvl w:val="3"/>
          <w:numId w:val="1"/>
        </w:numPr>
        <w:rPr>
          <w:rFonts w:ascii="Bookman Old Style" w:hAnsi="Bookman Old Style"/>
        </w:rPr>
      </w:pPr>
      <w:r>
        <w:rPr>
          <w:rFonts w:ascii="Bookman Old Style" w:hAnsi="Bookman Old Style"/>
        </w:rPr>
        <w:t xml:space="preserve">At trial, State put into evidence the number of heaters sold, their safety record, and absence of prior injuries. </w:t>
      </w:r>
    </w:p>
    <w:p w14:paraId="735EB926" w14:textId="77674B4A" w:rsidR="00B21A13" w:rsidRDefault="00B21A13" w:rsidP="008063EA">
      <w:pPr>
        <w:pStyle w:val="ListParagraph"/>
        <w:numPr>
          <w:ilvl w:val="3"/>
          <w:numId w:val="1"/>
        </w:numPr>
        <w:rPr>
          <w:rFonts w:ascii="Bookman Old Style" w:hAnsi="Bookman Old Style"/>
        </w:rPr>
      </w:pPr>
      <w:r>
        <w:rPr>
          <w:rFonts w:ascii="Bookman Old Style" w:hAnsi="Bookman Old Style"/>
        </w:rPr>
        <w:t xml:space="preserve">In food poisoning cases, evidence of absence of other injuries is inadmissible in a negligence action. </w:t>
      </w:r>
    </w:p>
    <w:p w14:paraId="458AABF0" w14:textId="77777777" w:rsidR="00B21A13" w:rsidRDefault="00B21A13" w:rsidP="008063EA">
      <w:pPr>
        <w:pStyle w:val="ListParagraph"/>
        <w:numPr>
          <w:ilvl w:val="3"/>
          <w:numId w:val="1"/>
        </w:numPr>
        <w:rPr>
          <w:rFonts w:ascii="Bookman Old Style" w:hAnsi="Bookman Old Style"/>
        </w:rPr>
      </w:pPr>
      <w:r>
        <w:rPr>
          <w:rFonts w:ascii="Bookman Old Style" w:hAnsi="Bookman Old Style"/>
        </w:rPr>
        <w:t xml:space="preserve">In this case, the information was relevant and admissible because there was a claim for breach of implied warranty of merchantability and it went to whether or not the heater was unreasonably dangerous. </w:t>
      </w:r>
    </w:p>
    <w:p w14:paraId="50C03D6F" w14:textId="53F75AE3" w:rsidR="00B21A13" w:rsidRDefault="00B21A13" w:rsidP="008063EA">
      <w:pPr>
        <w:pStyle w:val="ListParagraph"/>
        <w:numPr>
          <w:ilvl w:val="3"/>
          <w:numId w:val="1"/>
        </w:numPr>
        <w:rPr>
          <w:rFonts w:ascii="Bookman Old Style" w:hAnsi="Bookman Old Style"/>
        </w:rPr>
      </w:pPr>
      <w:r>
        <w:rPr>
          <w:rFonts w:ascii="Bookman Old Style" w:hAnsi="Bookman Old Style"/>
        </w:rPr>
        <w:lastRenderedPageBreak/>
        <w:t xml:space="preserve">The number of heaters sold was directly relevant to whether it would “pass without objection in the trade.” </w:t>
      </w:r>
    </w:p>
    <w:p w14:paraId="5DF1AB3A" w14:textId="23367867" w:rsidR="00592FE7" w:rsidRDefault="00592FE7" w:rsidP="00592FE7">
      <w:pPr>
        <w:pStyle w:val="ListParagraph"/>
        <w:numPr>
          <w:ilvl w:val="1"/>
          <w:numId w:val="1"/>
        </w:numPr>
        <w:rPr>
          <w:rFonts w:ascii="Bookman Old Style" w:hAnsi="Bookman Old Style"/>
        </w:rPr>
      </w:pPr>
      <w:r>
        <w:rPr>
          <w:rFonts w:ascii="Bookman Old Style" w:hAnsi="Bookman Old Style"/>
        </w:rPr>
        <w:t>Rule 2:403:</w:t>
      </w:r>
      <w:r w:rsidR="00B4307C">
        <w:rPr>
          <w:rFonts w:ascii="Bookman Old Style" w:hAnsi="Bookman Old Style"/>
        </w:rPr>
        <w:t xml:space="preserve"> Exclusion of Relevant on Grounds of Prejudice, Confusion, Misleading the Jury, or Needless Presentation of Cumulative Evidence</w:t>
      </w:r>
    </w:p>
    <w:p w14:paraId="1B32D7A7" w14:textId="51E04280" w:rsidR="00B4307C" w:rsidRDefault="00B4307C" w:rsidP="00B4307C">
      <w:pPr>
        <w:pStyle w:val="ListParagraph"/>
        <w:numPr>
          <w:ilvl w:val="2"/>
          <w:numId w:val="1"/>
        </w:numPr>
        <w:rPr>
          <w:rFonts w:ascii="Bookman Old Style" w:hAnsi="Bookman Old Style"/>
        </w:rPr>
      </w:pPr>
      <w:r>
        <w:rPr>
          <w:rFonts w:ascii="Bookman Old Style" w:hAnsi="Bookman Old Style"/>
          <w:u w:val="single"/>
        </w:rPr>
        <w:t>Commonwealth v. Proffitt</w:t>
      </w:r>
      <w:r>
        <w:rPr>
          <w:rFonts w:ascii="Bookman Old Style" w:hAnsi="Bookman Old Style"/>
        </w:rPr>
        <w:t xml:space="preserve">, 792 S.E. 2d </w:t>
      </w:r>
      <w:r w:rsidR="00613E0A">
        <w:rPr>
          <w:rFonts w:ascii="Bookman Old Style" w:hAnsi="Bookman Old Style"/>
        </w:rPr>
        <w:t xml:space="preserve">3 </w:t>
      </w:r>
      <w:r>
        <w:rPr>
          <w:rFonts w:ascii="Bookman Old Style" w:hAnsi="Bookman Old Style"/>
        </w:rPr>
        <w:t>(2016)</w:t>
      </w:r>
    </w:p>
    <w:p w14:paraId="0DB32C99" w14:textId="4AAB36C5" w:rsidR="000A522E" w:rsidRDefault="000A522E" w:rsidP="000A522E">
      <w:pPr>
        <w:pStyle w:val="ListParagraph"/>
        <w:numPr>
          <w:ilvl w:val="3"/>
          <w:numId w:val="1"/>
        </w:numPr>
        <w:rPr>
          <w:rFonts w:ascii="Bookman Old Style" w:hAnsi="Bookman Old Style"/>
        </w:rPr>
      </w:pPr>
      <w:r>
        <w:rPr>
          <w:rFonts w:ascii="Bookman Old Style" w:hAnsi="Bookman Old Style"/>
        </w:rPr>
        <w:t xml:space="preserve">Commonwealth wanted to involuntarily commit Proffitt under Civil Commitment of Sexually Violent Predators Act. </w:t>
      </w:r>
    </w:p>
    <w:p w14:paraId="76C86770" w14:textId="2177CDBA" w:rsidR="00407CC5" w:rsidRDefault="000A522E" w:rsidP="000A522E">
      <w:pPr>
        <w:pStyle w:val="ListParagraph"/>
        <w:numPr>
          <w:ilvl w:val="3"/>
          <w:numId w:val="1"/>
        </w:numPr>
        <w:rPr>
          <w:rFonts w:ascii="Bookman Old Style" w:hAnsi="Bookman Old Style"/>
        </w:rPr>
      </w:pPr>
      <w:r>
        <w:rPr>
          <w:rFonts w:ascii="Bookman Old Style" w:hAnsi="Bookman Old Style"/>
        </w:rPr>
        <w:t xml:space="preserve">At trial Commonwealth presented expert testimony </w:t>
      </w:r>
      <w:r w:rsidR="003B009E">
        <w:rPr>
          <w:rFonts w:ascii="Bookman Old Style" w:hAnsi="Bookman Old Style"/>
        </w:rPr>
        <w:t xml:space="preserve">by a doctor that she had diagnosed Proffitt with sexual sadism disorder, antisocial personality disorder, and alcohol use disorder. </w:t>
      </w:r>
      <w:r w:rsidR="00461B1B">
        <w:rPr>
          <w:rFonts w:ascii="Bookman Old Style" w:hAnsi="Bookman Old Style"/>
        </w:rPr>
        <w:t>She arrived at this opinion after</w:t>
      </w:r>
      <w:r w:rsidR="003B009E">
        <w:rPr>
          <w:rFonts w:ascii="Bookman Old Style" w:hAnsi="Bookman Old Style"/>
        </w:rPr>
        <w:t xml:space="preserve"> reviewing Proffitt’s institutional records, criminal records, and a meeting with Proffitt. She also based her opinion on a report given by a M.J. a victim of a rape for which Proffitt was convicted. The doctor also read the report of A.G. a victim of a crime for which Proffitt was indicted but later </w:t>
      </w:r>
      <w:r w:rsidR="003B009E">
        <w:rPr>
          <w:rFonts w:ascii="Bookman Old Style" w:hAnsi="Bookman Old Style"/>
          <w:i/>
        </w:rPr>
        <w:t>nolle prosequi</w:t>
      </w:r>
      <w:r w:rsidR="003B009E">
        <w:rPr>
          <w:rFonts w:ascii="Bookman Old Style" w:hAnsi="Bookman Old Style"/>
        </w:rPr>
        <w:t>. The expert relied upon M.J.’s report but did not rely on A.G’s</w:t>
      </w:r>
      <w:r w:rsidR="00461B1B">
        <w:rPr>
          <w:rFonts w:ascii="Bookman Old Style" w:hAnsi="Bookman Old Style"/>
        </w:rPr>
        <w:t>,</w:t>
      </w:r>
      <w:r w:rsidR="003B009E">
        <w:rPr>
          <w:rFonts w:ascii="Bookman Old Style" w:hAnsi="Bookman Old Style"/>
        </w:rPr>
        <w:t xml:space="preserve"> even though she read the report.</w:t>
      </w:r>
    </w:p>
    <w:p w14:paraId="5F25DD64" w14:textId="6FC71293" w:rsidR="000A522E" w:rsidRDefault="00407CC5" w:rsidP="000A522E">
      <w:pPr>
        <w:pStyle w:val="ListParagraph"/>
        <w:numPr>
          <w:ilvl w:val="3"/>
          <w:numId w:val="1"/>
        </w:numPr>
        <w:rPr>
          <w:rFonts w:ascii="Bookman Old Style" w:hAnsi="Bookman Old Style"/>
        </w:rPr>
      </w:pPr>
      <w:r>
        <w:rPr>
          <w:rFonts w:ascii="Bookman Old Style" w:hAnsi="Bookman Old Style"/>
        </w:rPr>
        <w:t>The Commonwealth then sought to call M.J. and A.G. as witnesses.</w:t>
      </w:r>
      <w:r w:rsidR="000A522E">
        <w:rPr>
          <w:rFonts w:ascii="Bookman Old Style" w:hAnsi="Bookman Old Style"/>
        </w:rPr>
        <w:t xml:space="preserve"> </w:t>
      </w:r>
    </w:p>
    <w:p w14:paraId="3F361F50" w14:textId="0E1A7FA3" w:rsidR="000A522E" w:rsidRDefault="000A522E" w:rsidP="000A522E">
      <w:pPr>
        <w:pStyle w:val="ListParagraph"/>
        <w:numPr>
          <w:ilvl w:val="3"/>
          <w:numId w:val="1"/>
        </w:numPr>
        <w:rPr>
          <w:rFonts w:ascii="Bookman Old Style" w:hAnsi="Bookman Old Style"/>
        </w:rPr>
      </w:pPr>
      <w:r>
        <w:rPr>
          <w:rFonts w:ascii="Bookman Old Style" w:hAnsi="Bookman Old Style"/>
        </w:rPr>
        <w:t>The trial court granted Proffitt’s motion to exclude the testimony of the two victims as cumulative and inflammatory.</w:t>
      </w:r>
      <w:r w:rsidR="00461B1B">
        <w:rPr>
          <w:rFonts w:ascii="Bookman Old Style" w:hAnsi="Bookman Old Style"/>
        </w:rPr>
        <w:t xml:space="preserve"> The jury found that that Proffitt</w:t>
      </w:r>
      <w:r>
        <w:rPr>
          <w:rFonts w:ascii="Bookman Old Style" w:hAnsi="Bookman Old Style"/>
        </w:rPr>
        <w:t xml:space="preserve"> was not a sexually violent predator and the Commonwealth appealed.</w:t>
      </w:r>
    </w:p>
    <w:p w14:paraId="15CAB85F" w14:textId="67785A18" w:rsidR="000A522E" w:rsidRDefault="00ED01F3" w:rsidP="000A522E">
      <w:pPr>
        <w:pStyle w:val="ListParagraph"/>
        <w:numPr>
          <w:ilvl w:val="3"/>
          <w:numId w:val="1"/>
        </w:numPr>
        <w:rPr>
          <w:rFonts w:ascii="Bookman Old Style" w:hAnsi="Bookman Old Style"/>
        </w:rPr>
      </w:pPr>
      <w:r>
        <w:rPr>
          <w:rFonts w:ascii="Bookman Old Style" w:hAnsi="Bookman Old Style"/>
        </w:rPr>
        <w:t xml:space="preserve">The Supreme Court found the </w:t>
      </w:r>
      <w:r w:rsidR="00461B1B">
        <w:rPr>
          <w:rFonts w:ascii="Bookman Old Style" w:hAnsi="Bookman Old Style"/>
        </w:rPr>
        <w:t>testimony of M.J. and A.G.</w:t>
      </w:r>
      <w:r>
        <w:rPr>
          <w:rFonts w:ascii="Bookman Old Style" w:hAnsi="Bookman Old Style"/>
        </w:rPr>
        <w:t xml:space="preserve"> was relevant </w:t>
      </w:r>
      <w:r w:rsidR="00461B1B">
        <w:rPr>
          <w:rFonts w:ascii="Bookman Old Style" w:hAnsi="Bookman Old Style"/>
        </w:rPr>
        <w:t>because it</w:t>
      </w:r>
      <w:r>
        <w:rPr>
          <w:rFonts w:ascii="Bookman Old Style" w:hAnsi="Bookman Old Style"/>
        </w:rPr>
        <w:t xml:space="preserve"> showed a pattern of predatory behavior and a likelihood that he would re-offend in the future.</w:t>
      </w:r>
    </w:p>
    <w:p w14:paraId="7744886E" w14:textId="131BFE4D" w:rsidR="00B4307C" w:rsidRDefault="00B4307C" w:rsidP="00B4307C">
      <w:pPr>
        <w:pStyle w:val="ListParagraph"/>
        <w:numPr>
          <w:ilvl w:val="2"/>
          <w:numId w:val="1"/>
        </w:numPr>
        <w:rPr>
          <w:rFonts w:ascii="Bookman Old Style" w:hAnsi="Bookman Old Style"/>
        </w:rPr>
      </w:pPr>
      <w:r>
        <w:rPr>
          <w:rFonts w:ascii="Bookman Old Style" w:hAnsi="Bookman Old Style"/>
          <w:u w:val="single"/>
        </w:rPr>
        <w:t>Lee v. Spoden</w:t>
      </w:r>
      <w:r>
        <w:rPr>
          <w:rFonts w:ascii="Bookman Old Style" w:hAnsi="Bookman Old Style"/>
        </w:rPr>
        <w:t xml:space="preserve">, </w:t>
      </w:r>
      <w:r w:rsidR="00EA01BF">
        <w:rPr>
          <w:rFonts w:ascii="Bookman Old Style" w:hAnsi="Bookman Old Style"/>
        </w:rPr>
        <w:t>290 Va. 235 (2015)</w:t>
      </w:r>
    </w:p>
    <w:p w14:paraId="54D56C99" w14:textId="1F403064" w:rsidR="0078369A" w:rsidRDefault="00845023" w:rsidP="0078369A">
      <w:pPr>
        <w:pStyle w:val="ListParagraph"/>
        <w:numPr>
          <w:ilvl w:val="3"/>
          <w:numId w:val="1"/>
        </w:numPr>
        <w:rPr>
          <w:rFonts w:ascii="Bookman Old Style" w:hAnsi="Bookman Old Style"/>
        </w:rPr>
      </w:pPr>
      <w:r>
        <w:rPr>
          <w:rFonts w:ascii="Bookman Old Style" w:hAnsi="Bookman Old Style"/>
        </w:rPr>
        <w:t>The parties were divorced and entered into a property settlement agreement that was incorporated but not merged into the final decree. The parties were both owners in a company, Strategic Healthcare Company, Inc. (“SHC”)</w:t>
      </w:r>
      <w:r w:rsidR="00461B1B">
        <w:rPr>
          <w:rFonts w:ascii="Bookman Old Style" w:hAnsi="Bookman Old Style"/>
        </w:rPr>
        <w:t>,</w:t>
      </w:r>
      <w:r>
        <w:rPr>
          <w:rFonts w:ascii="Bookman Old Style" w:hAnsi="Bookman Old Style"/>
        </w:rPr>
        <w:t xml:space="preserve"> and the agreement provided that Spoden would relinquish her ownership </w:t>
      </w:r>
      <w:r w:rsidR="00461B1B">
        <w:rPr>
          <w:rFonts w:ascii="Bookman Old Style" w:hAnsi="Bookman Old Style"/>
        </w:rPr>
        <w:t xml:space="preserve">rights </w:t>
      </w:r>
      <w:r>
        <w:rPr>
          <w:rFonts w:ascii="Bookman Old Style" w:hAnsi="Bookman Old Style"/>
        </w:rPr>
        <w:t>but remain an employee with certain guarantees.</w:t>
      </w:r>
    </w:p>
    <w:p w14:paraId="5A9A0733" w14:textId="1D784F85" w:rsidR="00845023" w:rsidRDefault="00845023" w:rsidP="0078369A">
      <w:pPr>
        <w:pStyle w:val="ListParagraph"/>
        <w:numPr>
          <w:ilvl w:val="3"/>
          <w:numId w:val="1"/>
        </w:numPr>
        <w:rPr>
          <w:rFonts w:ascii="Bookman Old Style" w:hAnsi="Bookman Old Style"/>
        </w:rPr>
      </w:pPr>
      <w:r>
        <w:rPr>
          <w:rFonts w:ascii="Bookman Old Style" w:hAnsi="Bookman Old Style"/>
        </w:rPr>
        <w:t xml:space="preserve">Spoden filed suit for breach of the terms of the property settlement agreement against both Lee and SHC. Spoden also filed a rule to show cause for violations of the agreement. </w:t>
      </w:r>
    </w:p>
    <w:p w14:paraId="367E9EC7" w14:textId="735E88B6" w:rsidR="00461B1B" w:rsidRDefault="00461B1B" w:rsidP="0078369A">
      <w:pPr>
        <w:pStyle w:val="ListParagraph"/>
        <w:numPr>
          <w:ilvl w:val="3"/>
          <w:numId w:val="1"/>
        </w:numPr>
        <w:rPr>
          <w:rFonts w:ascii="Bookman Old Style" w:hAnsi="Bookman Old Style"/>
        </w:rPr>
      </w:pPr>
      <w:r>
        <w:rPr>
          <w:rFonts w:ascii="Bookman Old Style" w:hAnsi="Bookman Old Style"/>
        </w:rPr>
        <w:lastRenderedPageBreak/>
        <w:t>Spoden also claimed that Lee and SHC sold a Florida property, that was covered by the agreement, in bad faith.</w:t>
      </w:r>
    </w:p>
    <w:p w14:paraId="0D83AA03" w14:textId="6167A6DF" w:rsidR="00845023" w:rsidRDefault="00845023" w:rsidP="0078369A">
      <w:pPr>
        <w:pStyle w:val="ListParagraph"/>
        <w:numPr>
          <w:ilvl w:val="3"/>
          <w:numId w:val="1"/>
        </w:numPr>
        <w:rPr>
          <w:rFonts w:ascii="Bookman Old Style" w:hAnsi="Bookman Old Style"/>
        </w:rPr>
      </w:pPr>
      <w:r>
        <w:rPr>
          <w:rFonts w:ascii="Bookman Old Style" w:hAnsi="Bookman Old Style"/>
        </w:rPr>
        <w:t xml:space="preserve">At show cause hearing, court denied </w:t>
      </w:r>
      <w:r w:rsidR="00461B1B">
        <w:rPr>
          <w:rFonts w:ascii="Bookman Old Style" w:hAnsi="Bookman Old Style"/>
        </w:rPr>
        <w:t xml:space="preserve">the </w:t>
      </w:r>
      <w:r>
        <w:rPr>
          <w:rFonts w:ascii="Bookman Old Style" w:hAnsi="Bookman Old Style"/>
        </w:rPr>
        <w:t xml:space="preserve">rule to show cause because </w:t>
      </w:r>
      <w:r w:rsidR="00461B1B">
        <w:rPr>
          <w:rFonts w:ascii="Bookman Old Style" w:hAnsi="Bookman Old Style"/>
        </w:rPr>
        <w:t xml:space="preserve">property settlement </w:t>
      </w:r>
      <w:r>
        <w:rPr>
          <w:rFonts w:ascii="Bookman Old Style" w:hAnsi="Bookman Old Style"/>
        </w:rPr>
        <w:t>agreement was not signed by SHC; therefore, it was not bound by terms</w:t>
      </w:r>
      <w:r w:rsidR="00461B1B">
        <w:rPr>
          <w:rFonts w:ascii="Bookman Old Style" w:hAnsi="Bookman Old Style"/>
        </w:rPr>
        <w:t>.</w:t>
      </w:r>
      <w:r>
        <w:rPr>
          <w:rFonts w:ascii="Bookman Old Style" w:hAnsi="Bookman Old Style"/>
        </w:rPr>
        <w:t xml:space="preserve"> </w:t>
      </w:r>
      <w:r w:rsidR="00461B1B">
        <w:rPr>
          <w:rFonts w:ascii="Bookman Old Style" w:hAnsi="Bookman Old Style"/>
        </w:rPr>
        <w:t>The court also found that</w:t>
      </w:r>
      <w:r>
        <w:rPr>
          <w:rFonts w:ascii="Bookman Old Style" w:hAnsi="Bookman Old Style"/>
        </w:rPr>
        <w:t xml:space="preserve"> Lee had not violated </w:t>
      </w:r>
      <w:r w:rsidR="00461B1B">
        <w:rPr>
          <w:rFonts w:ascii="Bookman Old Style" w:hAnsi="Bookman Old Style"/>
        </w:rPr>
        <w:t xml:space="preserve">the </w:t>
      </w:r>
      <w:r>
        <w:rPr>
          <w:rFonts w:ascii="Bookman Old Style" w:hAnsi="Bookman Old Style"/>
        </w:rPr>
        <w:t xml:space="preserve">agreement. </w:t>
      </w:r>
    </w:p>
    <w:p w14:paraId="35333BBB" w14:textId="5D873799" w:rsidR="00845023" w:rsidRDefault="00DF5ABE" w:rsidP="0078369A">
      <w:pPr>
        <w:pStyle w:val="ListParagraph"/>
        <w:numPr>
          <w:ilvl w:val="3"/>
          <w:numId w:val="1"/>
        </w:numPr>
        <w:rPr>
          <w:rFonts w:ascii="Bookman Old Style" w:hAnsi="Bookman Old Style"/>
        </w:rPr>
      </w:pPr>
      <w:r>
        <w:rPr>
          <w:rFonts w:ascii="Bookman Old Style" w:hAnsi="Bookman Old Style"/>
        </w:rPr>
        <w:t>At trial, the court excluded all evidence related to the court’s ruling in the contempt proceedings.</w:t>
      </w:r>
    </w:p>
    <w:p w14:paraId="7CCCB307" w14:textId="6079AA14" w:rsidR="00DF5ABE" w:rsidRDefault="00DF5ABE" w:rsidP="0078369A">
      <w:pPr>
        <w:pStyle w:val="ListParagraph"/>
        <w:numPr>
          <w:ilvl w:val="3"/>
          <w:numId w:val="1"/>
        </w:numPr>
        <w:rPr>
          <w:rFonts w:ascii="Bookman Old Style" w:hAnsi="Bookman Old Style"/>
        </w:rPr>
      </w:pPr>
      <w:r>
        <w:rPr>
          <w:rFonts w:ascii="Bookman Old Style" w:hAnsi="Bookman Old Style"/>
        </w:rPr>
        <w:t>The Supreme Court found that the ruling in the contempt proceeding was both relevant and highly probative of whether Lee and SHC acted in bad faith</w:t>
      </w:r>
      <w:r w:rsidR="00461B1B">
        <w:rPr>
          <w:rFonts w:ascii="Bookman Old Style" w:hAnsi="Bookman Old Style"/>
        </w:rPr>
        <w:t xml:space="preserve"> in the contract action</w:t>
      </w:r>
      <w:r>
        <w:rPr>
          <w:rFonts w:ascii="Bookman Old Style" w:hAnsi="Bookman Old Style"/>
        </w:rPr>
        <w:t xml:space="preserve">. </w:t>
      </w:r>
    </w:p>
    <w:p w14:paraId="5997FF8F" w14:textId="0795E06F" w:rsidR="00592FE7" w:rsidRDefault="00592FE7" w:rsidP="00592FE7">
      <w:pPr>
        <w:pStyle w:val="ListParagraph"/>
        <w:numPr>
          <w:ilvl w:val="1"/>
          <w:numId w:val="1"/>
        </w:numPr>
        <w:rPr>
          <w:rFonts w:ascii="Bookman Old Style" w:hAnsi="Bookman Old Style"/>
        </w:rPr>
      </w:pPr>
      <w:r>
        <w:rPr>
          <w:rFonts w:ascii="Bookman Old Style" w:hAnsi="Bookman Old Style"/>
        </w:rPr>
        <w:t>Rule 2:609:</w:t>
      </w:r>
      <w:r w:rsidR="00B4307C">
        <w:rPr>
          <w:rFonts w:ascii="Bookman Old Style" w:hAnsi="Bookman Old Style"/>
        </w:rPr>
        <w:t xml:space="preserve"> Impeachment by Evidence of Conviction of Crime</w:t>
      </w:r>
    </w:p>
    <w:p w14:paraId="7433F103" w14:textId="33F7980E" w:rsidR="00B4307C" w:rsidRDefault="00B4307C" w:rsidP="00B4307C">
      <w:pPr>
        <w:pStyle w:val="ListParagraph"/>
        <w:numPr>
          <w:ilvl w:val="2"/>
          <w:numId w:val="1"/>
        </w:numPr>
        <w:rPr>
          <w:rFonts w:ascii="Bookman Old Style" w:hAnsi="Bookman Old Style"/>
        </w:rPr>
      </w:pPr>
      <w:r>
        <w:rPr>
          <w:rFonts w:ascii="Bookman Old Style" w:hAnsi="Bookman Old Style"/>
          <w:u w:val="single"/>
        </w:rPr>
        <w:t>Shifflett v. Commonwealth</w:t>
      </w:r>
      <w:r>
        <w:rPr>
          <w:rFonts w:ascii="Bookman Old Style" w:hAnsi="Bookman Old Style"/>
        </w:rPr>
        <w:t xml:space="preserve">, </w:t>
      </w:r>
      <w:r w:rsidR="00EA01BF">
        <w:rPr>
          <w:rFonts w:ascii="Bookman Old Style" w:hAnsi="Bookman Old Style"/>
        </w:rPr>
        <w:t>289 Va. 10 (2015)</w:t>
      </w:r>
    </w:p>
    <w:p w14:paraId="6EFF3FCC" w14:textId="0538447E" w:rsidR="00157F43" w:rsidRDefault="0014505F" w:rsidP="00157F43">
      <w:pPr>
        <w:pStyle w:val="ListParagraph"/>
        <w:numPr>
          <w:ilvl w:val="3"/>
          <w:numId w:val="1"/>
        </w:numPr>
        <w:rPr>
          <w:rFonts w:ascii="Bookman Old Style" w:hAnsi="Bookman Old Style"/>
        </w:rPr>
      </w:pPr>
      <w:r>
        <w:rPr>
          <w:rFonts w:ascii="Bookman Old Style" w:hAnsi="Bookman Old Style"/>
        </w:rPr>
        <w:t>Shifflett was charged and found of guilty of aggravated sexual battery.</w:t>
      </w:r>
    </w:p>
    <w:p w14:paraId="5AA858C2" w14:textId="4855EF96" w:rsidR="0014505F" w:rsidRDefault="0014505F" w:rsidP="00157F43">
      <w:pPr>
        <w:pStyle w:val="ListParagraph"/>
        <w:numPr>
          <w:ilvl w:val="3"/>
          <w:numId w:val="1"/>
        </w:numPr>
        <w:rPr>
          <w:rFonts w:ascii="Bookman Old Style" w:hAnsi="Bookman Old Style"/>
        </w:rPr>
      </w:pPr>
      <w:r>
        <w:rPr>
          <w:rFonts w:ascii="Bookman Old Style" w:hAnsi="Bookman Old Style"/>
        </w:rPr>
        <w:t>Shifflett appealed claiming that the trial court erred by allowing the Commonwealth to cross-examine him about whether a prior felony conviction involved lying, cheating, or stealing.</w:t>
      </w:r>
    </w:p>
    <w:p w14:paraId="55CD8F8B" w14:textId="0CAFB511" w:rsidR="0014505F" w:rsidRDefault="0014505F" w:rsidP="00157F43">
      <w:pPr>
        <w:pStyle w:val="ListParagraph"/>
        <w:numPr>
          <w:ilvl w:val="3"/>
          <w:numId w:val="1"/>
        </w:numPr>
        <w:rPr>
          <w:rFonts w:ascii="Bookman Old Style" w:hAnsi="Bookman Old Style"/>
        </w:rPr>
      </w:pPr>
      <w:r>
        <w:rPr>
          <w:rFonts w:ascii="Bookman Old Style" w:hAnsi="Bookman Old Style"/>
        </w:rPr>
        <w:t xml:space="preserve">Shifflett was previously convicted of subornation of perjury. Trial court did not permit Commonwealth to mention </w:t>
      </w:r>
      <w:r w:rsidR="00461B1B">
        <w:rPr>
          <w:rFonts w:ascii="Bookman Old Style" w:hAnsi="Bookman Old Style"/>
        </w:rPr>
        <w:t xml:space="preserve">the </w:t>
      </w:r>
      <w:r>
        <w:rPr>
          <w:rFonts w:ascii="Bookman Old Style" w:hAnsi="Bookman Old Style"/>
        </w:rPr>
        <w:t xml:space="preserve">crime by name but allowed Commonwealth to ask if Shifflett had been convicted of a crime that involved lying, cheating, or stealing. </w:t>
      </w:r>
    </w:p>
    <w:p w14:paraId="4BC205E5" w14:textId="6D690F49" w:rsidR="00461B1B" w:rsidRDefault="00461B1B" w:rsidP="00157F43">
      <w:pPr>
        <w:pStyle w:val="ListParagraph"/>
        <w:numPr>
          <w:ilvl w:val="3"/>
          <w:numId w:val="1"/>
        </w:numPr>
        <w:rPr>
          <w:rFonts w:ascii="Bookman Old Style" w:hAnsi="Bookman Old Style"/>
        </w:rPr>
      </w:pPr>
      <w:r>
        <w:rPr>
          <w:rFonts w:ascii="Bookman Old Style" w:hAnsi="Bookman Old Style"/>
        </w:rPr>
        <w:t>Generally, if the former conviction is perjury, it can be mentioned by name.</w:t>
      </w:r>
    </w:p>
    <w:p w14:paraId="1DC55814" w14:textId="727C4F57" w:rsidR="007A2F75" w:rsidRPr="007A2F75" w:rsidRDefault="00461B1B" w:rsidP="007A2F75">
      <w:pPr>
        <w:pStyle w:val="ListParagraph"/>
        <w:numPr>
          <w:ilvl w:val="3"/>
          <w:numId w:val="1"/>
        </w:numPr>
        <w:rPr>
          <w:rFonts w:ascii="Bookman Old Style" w:hAnsi="Bookman Old Style"/>
        </w:rPr>
      </w:pPr>
      <w:r>
        <w:rPr>
          <w:rFonts w:ascii="Bookman Old Style" w:hAnsi="Bookman Old Style"/>
        </w:rPr>
        <w:t xml:space="preserve">The court stated that </w:t>
      </w:r>
      <w:r w:rsidR="007A2F75">
        <w:rPr>
          <w:rFonts w:ascii="Bookman Old Style" w:hAnsi="Bookman Old Style"/>
        </w:rPr>
        <w:t xml:space="preserve">Shifflett’s credibility had already been impeached due to evidence of his prior felony convictions. </w:t>
      </w:r>
    </w:p>
    <w:p w14:paraId="0ECC4BF8" w14:textId="2F170594" w:rsidR="0014505F" w:rsidRDefault="007A2F75" w:rsidP="00157F43">
      <w:pPr>
        <w:pStyle w:val="ListParagraph"/>
        <w:numPr>
          <w:ilvl w:val="3"/>
          <w:numId w:val="1"/>
        </w:numPr>
        <w:rPr>
          <w:rFonts w:ascii="Bookman Old Style" w:hAnsi="Bookman Old Style"/>
        </w:rPr>
      </w:pPr>
      <w:r>
        <w:rPr>
          <w:rFonts w:ascii="Bookman Old Style" w:hAnsi="Bookman Old Style"/>
        </w:rPr>
        <w:t xml:space="preserve">The Supreme Court found </w:t>
      </w:r>
      <w:r w:rsidR="00461B1B">
        <w:rPr>
          <w:rFonts w:ascii="Bookman Old Style" w:hAnsi="Bookman Old Style"/>
        </w:rPr>
        <w:t>that the admission of this testimony was harmless error because the</w:t>
      </w:r>
      <w:r>
        <w:rPr>
          <w:rFonts w:ascii="Bookman Old Style" w:hAnsi="Bookman Old Style"/>
        </w:rPr>
        <w:t xml:space="preserve"> </w:t>
      </w:r>
      <w:r w:rsidR="00461B1B">
        <w:rPr>
          <w:rFonts w:ascii="Bookman Old Style" w:hAnsi="Bookman Old Style"/>
        </w:rPr>
        <w:t>evidence</w:t>
      </w:r>
      <w:r>
        <w:rPr>
          <w:rFonts w:ascii="Bookman Old Style" w:hAnsi="Bookman Old Style"/>
        </w:rPr>
        <w:t xml:space="preserve"> went to his credibility and had no prejudicial effect as to his guilt or innocence of sexual battery. </w:t>
      </w:r>
    </w:p>
    <w:p w14:paraId="6115F2C6" w14:textId="4F178159" w:rsidR="00592FE7" w:rsidRDefault="00592FE7" w:rsidP="00592FE7">
      <w:pPr>
        <w:pStyle w:val="ListParagraph"/>
        <w:numPr>
          <w:ilvl w:val="1"/>
          <w:numId w:val="1"/>
        </w:numPr>
        <w:rPr>
          <w:rFonts w:ascii="Bookman Old Style" w:hAnsi="Bookman Old Style"/>
        </w:rPr>
      </w:pPr>
      <w:r>
        <w:rPr>
          <w:rFonts w:ascii="Bookman Old Style" w:hAnsi="Bookman Old Style"/>
        </w:rPr>
        <w:t>Rule 2:702:</w:t>
      </w:r>
      <w:r w:rsidR="00B4307C">
        <w:rPr>
          <w:rFonts w:ascii="Bookman Old Style" w:hAnsi="Bookman Old Style"/>
        </w:rPr>
        <w:t xml:space="preserve"> Testimony by Experts</w:t>
      </w:r>
    </w:p>
    <w:p w14:paraId="53CA1483" w14:textId="3B89CF41" w:rsidR="00B4307C" w:rsidRDefault="00B4307C" w:rsidP="00B4307C">
      <w:pPr>
        <w:pStyle w:val="ListParagraph"/>
        <w:numPr>
          <w:ilvl w:val="2"/>
          <w:numId w:val="1"/>
        </w:numPr>
        <w:rPr>
          <w:rFonts w:ascii="Bookman Old Style" w:hAnsi="Bookman Old Style"/>
        </w:rPr>
      </w:pPr>
      <w:r>
        <w:rPr>
          <w:rFonts w:ascii="Bookman Old Style" w:hAnsi="Bookman Old Style"/>
          <w:u w:val="single"/>
        </w:rPr>
        <w:t>Welton v. Branch Banking &amp; Trust Co.</w:t>
      </w:r>
      <w:r>
        <w:rPr>
          <w:rFonts w:ascii="Bookman Old Style" w:hAnsi="Bookman Old Style"/>
        </w:rPr>
        <w:t xml:space="preserve">, </w:t>
      </w:r>
      <w:r w:rsidR="00FB6D97">
        <w:rPr>
          <w:rFonts w:ascii="Bookman Old Style" w:hAnsi="Bookman Old Style"/>
        </w:rPr>
        <w:t>2016 Va. Unpub. LEXIS 14 (2016)</w:t>
      </w:r>
    </w:p>
    <w:p w14:paraId="0B9492BA" w14:textId="3E2A9AF9" w:rsidR="007A2F75" w:rsidRDefault="004A7CB9" w:rsidP="007A2F75">
      <w:pPr>
        <w:pStyle w:val="ListParagraph"/>
        <w:numPr>
          <w:ilvl w:val="3"/>
          <w:numId w:val="1"/>
        </w:numPr>
        <w:rPr>
          <w:rFonts w:ascii="Bookman Old Style" w:hAnsi="Bookman Old Style"/>
        </w:rPr>
      </w:pPr>
      <w:r>
        <w:rPr>
          <w:rFonts w:ascii="Bookman Old Style" w:hAnsi="Bookman Old Style"/>
        </w:rPr>
        <w:t>The executor for the estate of Welton filed a claim against BB&amp;T for the principal amount plus interest of a money market certificate Welton purchased in 1979. The Weltons claimed that</w:t>
      </w:r>
      <w:r w:rsidR="008966B1">
        <w:rPr>
          <w:rFonts w:ascii="Bookman Old Style" w:hAnsi="Bookman Old Style"/>
        </w:rPr>
        <w:t>, in 2002</w:t>
      </w:r>
      <w:r>
        <w:rPr>
          <w:rFonts w:ascii="Bookman Old Style" w:hAnsi="Bookman Old Style"/>
        </w:rPr>
        <w:t xml:space="preserve">, when the certificate was presented for payment, the Bank refused payment. </w:t>
      </w:r>
    </w:p>
    <w:p w14:paraId="7042468F" w14:textId="4024A2A2" w:rsidR="004A7CB9" w:rsidRDefault="004A7CB9" w:rsidP="004A7CB9">
      <w:pPr>
        <w:pStyle w:val="ListParagraph"/>
        <w:numPr>
          <w:ilvl w:val="3"/>
          <w:numId w:val="1"/>
        </w:numPr>
        <w:rPr>
          <w:rFonts w:ascii="Bookman Old Style" w:hAnsi="Bookman Old Style"/>
        </w:rPr>
      </w:pPr>
      <w:r>
        <w:rPr>
          <w:rFonts w:ascii="Bookman Old Style" w:hAnsi="Bookman Old Style"/>
        </w:rPr>
        <w:lastRenderedPageBreak/>
        <w:t>At trial, the Weltons called a banker to testify as an expert witness regarding the interest that a saving</w:t>
      </w:r>
      <w:r w:rsidRPr="004A7CB9">
        <w:rPr>
          <w:rFonts w:ascii="Bookman Old Style" w:hAnsi="Bookman Old Style"/>
        </w:rPr>
        <w:t xml:space="preserve">s account would </w:t>
      </w:r>
      <w:r w:rsidR="008966B1">
        <w:rPr>
          <w:rFonts w:ascii="Bookman Old Style" w:hAnsi="Bookman Old Style"/>
        </w:rPr>
        <w:t xml:space="preserve">have </w:t>
      </w:r>
      <w:r w:rsidRPr="004A7CB9">
        <w:rPr>
          <w:rFonts w:ascii="Bookman Old Style" w:hAnsi="Bookman Old Style"/>
        </w:rPr>
        <w:t>earn</w:t>
      </w:r>
      <w:r w:rsidR="008966B1">
        <w:rPr>
          <w:rFonts w:ascii="Bookman Old Style" w:hAnsi="Bookman Old Style"/>
        </w:rPr>
        <w:t>ed</w:t>
      </w:r>
      <w:r w:rsidRPr="004A7CB9">
        <w:rPr>
          <w:rFonts w:ascii="Bookman Old Style" w:hAnsi="Bookman Old Style"/>
        </w:rPr>
        <w:t xml:space="preserve"> since 1979.</w:t>
      </w:r>
      <w:r>
        <w:rPr>
          <w:rFonts w:ascii="Bookman Old Style" w:hAnsi="Bookman Old Style"/>
        </w:rPr>
        <w:t xml:space="preserve"> </w:t>
      </w:r>
      <w:r w:rsidRPr="004A7CB9">
        <w:rPr>
          <w:rFonts w:ascii="Bookman Old Style" w:hAnsi="Bookman Old Style"/>
        </w:rPr>
        <w:t xml:space="preserve">The banker did not work in a job that </w:t>
      </w:r>
      <w:r w:rsidR="008966B1">
        <w:rPr>
          <w:rFonts w:ascii="Bookman Old Style" w:hAnsi="Bookman Old Style"/>
        </w:rPr>
        <w:t>involved</w:t>
      </w:r>
      <w:r w:rsidRPr="004A7CB9">
        <w:rPr>
          <w:rFonts w:ascii="Bookman Old Style" w:hAnsi="Bookman Old Style"/>
        </w:rPr>
        <w:t xml:space="preserve"> setting interest rates until 2007. </w:t>
      </w:r>
    </w:p>
    <w:p w14:paraId="6073CDE8" w14:textId="13EB797D" w:rsidR="004A7CB9" w:rsidRDefault="004A7CB9" w:rsidP="004A7CB9">
      <w:pPr>
        <w:pStyle w:val="ListParagraph"/>
        <w:numPr>
          <w:ilvl w:val="3"/>
          <w:numId w:val="1"/>
        </w:numPr>
        <w:rPr>
          <w:rFonts w:ascii="Bookman Old Style" w:hAnsi="Bookman Old Style"/>
        </w:rPr>
      </w:pPr>
      <w:r>
        <w:rPr>
          <w:rFonts w:ascii="Bookman Old Style" w:hAnsi="Bookman Old Style"/>
        </w:rPr>
        <w:t>When Welton moved to qualify the banker as an expert in the field of establishing interest rates, BB&amp;T objected because of</w:t>
      </w:r>
      <w:r w:rsidR="008966B1">
        <w:rPr>
          <w:rFonts w:ascii="Bookman Old Style" w:hAnsi="Bookman Old Style"/>
        </w:rPr>
        <w:t xml:space="preserve"> the banker’s</w:t>
      </w:r>
      <w:r>
        <w:rPr>
          <w:rFonts w:ascii="Bookman Old Style" w:hAnsi="Bookman Old Style"/>
        </w:rPr>
        <w:t xml:space="preserve"> lack of qualifications to determine historic interest rates and any opinion </w:t>
      </w:r>
      <w:r w:rsidR="008966B1">
        <w:rPr>
          <w:rFonts w:ascii="Bookman Old Style" w:hAnsi="Bookman Old Style"/>
        </w:rPr>
        <w:t xml:space="preserve">of his </w:t>
      </w:r>
      <w:r>
        <w:rPr>
          <w:rFonts w:ascii="Bookman Old Style" w:hAnsi="Bookman Old Style"/>
        </w:rPr>
        <w:t>would be based on speculation.</w:t>
      </w:r>
    </w:p>
    <w:p w14:paraId="0588BA88" w14:textId="48C7180C" w:rsidR="004A7CB9" w:rsidRDefault="004A7CB9" w:rsidP="004A7CB9">
      <w:pPr>
        <w:pStyle w:val="ListParagraph"/>
        <w:numPr>
          <w:ilvl w:val="3"/>
          <w:numId w:val="1"/>
        </w:numPr>
        <w:rPr>
          <w:rFonts w:ascii="Bookman Old Style" w:hAnsi="Bookman Old Style"/>
        </w:rPr>
      </w:pPr>
      <w:r>
        <w:rPr>
          <w:rFonts w:ascii="Bookman Old Style" w:hAnsi="Bookman Old Style"/>
        </w:rPr>
        <w:t>The trial court found that the bank</w:t>
      </w:r>
      <w:r w:rsidR="008966B1">
        <w:rPr>
          <w:rFonts w:ascii="Bookman Old Style" w:hAnsi="Bookman Old Style"/>
        </w:rPr>
        <w:t>er</w:t>
      </w:r>
      <w:r>
        <w:rPr>
          <w:rFonts w:ascii="Bookman Old Style" w:hAnsi="Bookman Old Style"/>
        </w:rPr>
        <w:t xml:space="preserve"> could only opine as to interest rates starting in 2007</w:t>
      </w:r>
      <w:r w:rsidR="008966B1">
        <w:rPr>
          <w:rFonts w:ascii="Bookman Old Style" w:hAnsi="Bookman Old Style"/>
        </w:rPr>
        <w:t>,</w:t>
      </w:r>
      <w:r>
        <w:rPr>
          <w:rFonts w:ascii="Bookman Old Style" w:hAnsi="Bookman Old Style"/>
        </w:rPr>
        <w:t xml:space="preserve"> but his opinion was not admissible because he had </w:t>
      </w:r>
      <w:r w:rsidR="008966B1">
        <w:rPr>
          <w:rFonts w:ascii="Bookman Old Style" w:hAnsi="Bookman Old Style"/>
        </w:rPr>
        <w:t xml:space="preserve">not </w:t>
      </w:r>
      <w:r>
        <w:rPr>
          <w:rFonts w:ascii="Bookman Old Style" w:hAnsi="Bookman Old Style"/>
        </w:rPr>
        <w:t xml:space="preserve">performed an analysis of </w:t>
      </w:r>
      <w:r w:rsidR="00A925DE">
        <w:rPr>
          <w:rFonts w:ascii="Bookman Old Style" w:hAnsi="Bookman Old Style"/>
        </w:rPr>
        <w:t>local savings rates or those specific to BB&amp;T. Therefore, the banker</w:t>
      </w:r>
      <w:r w:rsidR="009769D4">
        <w:rPr>
          <w:rFonts w:ascii="Bookman Old Style" w:hAnsi="Bookman Old Style"/>
        </w:rPr>
        <w:t>’</w:t>
      </w:r>
      <w:r w:rsidR="00A925DE">
        <w:rPr>
          <w:rFonts w:ascii="Bookman Old Style" w:hAnsi="Bookman Old Style"/>
        </w:rPr>
        <w:t>s opinion was speculative and not admissible.</w:t>
      </w:r>
    </w:p>
    <w:p w14:paraId="09F9F342" w14:textId="14E46F9F" w:rsidR="00A925DE" w:rsidRPr="004A7CB9" w:rsidRDefault="00505295" w:rsidP="004A7CB9">
      <w:pPr>
        <w:pStyle w:val="ListParagraph"/>
        <w:numPr>
          <w:ilvl w:val="3"/>
          <w:numId w:val="1"/>
        </w:numPr>
        <w:rPr>
          <w:rFonts w:ascii="Bookman Old Style" w:hAnsi="Bookman Old Style"/>
        </w:rPr>
      </w:pPr>
      <w:r>
        <w:rPr>
          <w:rFonts w:ascii="Bookman Old Style" w:hAnsi="Bookman Old Style"/>
        </w:rPr>
        <w:t xml:space="preserve">The Supreme Court upheld the trial court’s ruling that the banker’s testimony was speculative and, therefore, inadmissible. </w:t>
      </w:r>
    </w:p>
    <w:p w14:paraId="6D6748D5" w14:textId="0A954A1D" w:rsidR="00592FE7" w:rsidRDefault="00592FE7" w:rsidP="00592FE7">
      <w:pPr>
        <w:pStyle w:val="ListParagraph"/>
        <w:numPr>
          <w:ilvl w:val="1"/>
          <w:numId w:val="1"/>
        </w:numPr>
        <w:rPr>
          <w:rFonts w:ascii="Bookman Old Style" w:hAnsi="Bookman Old Style"/>
        </w:rPr>
      </w:pPr>
      <w:r>
        <w:rPr>
          <w:rFonts w:ascii="Bookman Old Style" w:hAnsi="Bookman Old Style"/>
        </w:rPr>
        <w:t>Rule 2:703:</w:t>
      </w:r>
      <w:r w:rsidR="00B4307C">
        <w:rPr>
          <w:rFonts w:ascii="Bookman Old Style" w:hAnsi="Bookman Old Style"/>
        </w:rPr>
        <w:t xml:space="preserve"> Basis of Expert Testimony</w:t>
      </w:r>
    </w:p>
    <w:p w14:paraId="2638BF93" w14:textId="49E3CB8F" w:rsidR="00BA54FE" w:rsidRDefault="00BA54FE" w:rsidP="00BA54FE">
      <w:pPr>
        <w:pStyle w:val="ListParagraph"/>
        <w:numPr>
          <w:ilvl w:val="2"/>
          <w:numId w:val="1"/>
        </w:numPr>
        <w:rPr>
          <w:rFonts w:ascii="Bookman Old Style" w:hAnsi="Bookman Old Style"/>
        </w:rPr>
      </w:pPr>
      <w:r>
        <w:rPr>
          <w:rFonts w:ascii="Bookman Old Style" w:hAnsi="Bookman Old Style"/>
          <w:u w:val="single"/>
        </w:rPr>
        <w:t>Holiday Motor Corp. v. Walters</w:t>
      </w:r>
      <w:r>
        <w:rPr>
          <w:rFonts w:ascii="Bookman Old Style" w:hAnsi="Bookman Old Style"/>
        </w:rPr>
        <w:t xml:space="preserve">, </w:t>
      </w:r>
      <w:r w:rsidR="0062692F">
        <w:rPr>
          <w:rFonts w:ascii="Bookman Old Style" w:hAnsi="Bookman Old Style"/>
        </w:rPr>
        <w:t>790 S.E. 2d 447</w:t>
      </w:r>
      <w:r>
        <w:rPr>
          <w:rFonts w:ascii="Bookman Old Style" w:hAnsi="Bookman Old Style"/>
        </w:rPr>
        <w:t xml:space="preserve"> (</w:t>
      </w:r>
      <w:r w:rsidR="0062692F">
        <w:rPr>
          <w:rFonts w:ascii="Bookman Old Style" w:hAnsi="Bookman Old Style"/>
        </w:rPr>
        <w:t xml:space="preserve">Va. </w:t>
      </w:r>
      <w:r>
        <w:rPr>
          <w:rFonts w:ascii="Bookman Old Style" w:hAnsi="Bookman Old Style"/>
        </w:rPr>
        <w:t>2016)</w:t>
      </w:r>
    </w:p>
    <w:p w14:paraId="4304FD0C" w14:textId="7D312BFC" w:rsidR="0062692F" w:rsidRDefault="003E6A1E" w:rsidP="0062692F">
      <w:pPr>
        <w:pStyle w:val="ListParagraph"/>
        <w:numPr>
          <w:ilvl w:val="3"/>
          <w:numId w:val="1"/>
        </w:numPr>
        <w:rPr>
          <w:rFonts w:ascii="Bookman Old Style" w:hAnsi="Bookman Old Style"/>
        </w:rPr>
      </w:pPr>
      <w:r>
        <w:rPr>
          <w:rFonts w:ascii="Bookman Old Style" w:hAnsi="Bookman Old Style"/>
        </w:rPr>
        <w:t>Holiday Motor Corporation, Mazda Motor Corporation and Mazda Motor of America, Inc. (“Mazda”) appealed a $20 million jury verdict in favor of Walters, who sustained a serious cervical spine injury when her 1995 Mazda Miata overturned when she was operating it with the soft top closed.</w:t>
      </w:r>
    </w:p>
    <w:p w14:paraId="598C7A00" w14:textId="6A1E606B" w:rsidR="003E6A1E" w:rsidRDefault="003E6A1E" w:rsidP="0062692F">
      <w:pPr>
        <w:pStyle w:val="ListParagraph"/>
        <w:numPr>
          <w:ilvl w:val="3"/>
          <w:numId w:val="1"/>
        </w:numPr>
        <w:rPr>
          <w:rFonts w:ascii="Bookman Old Style" w:hAnsi="Bookman Old Style"/>
        </w:rPr>
      </w:pPr>
      <w:r>
        <w:rPr>
          <w:rFonts w:ascii="Bookman Old Style" w:hAnsi="Bookman Old Style"/>
        </w:rPr>
        <w:t>Walters alleged that she was injured when the windshield header disconnected from the top and that the design of the latches were defective because they were not designed to stay closed in a rollover crash.</w:t>
      </w:r>
    </w:p>
    <w:p w14:paraId="5401F4EF" w14:textId="629BE2B4" w:rsidR="003E6A1E" w:rsidRDefault="00317503" w:rsidP="0062692F">
      <w:pPr>
        <w:pStyle w:val="ListParagraph"/>
        <w:numPr>
          <w:ilvl w:val="3"/>
          <w:numId w:val="1"/>
        </w:numPr>
        <w:rPr>
          <w:rFonts w:ascii="Bookman Old Style" w:hAnsi="Bookman Old Style"/>
        </w:rPr>
      </w:pPr>
      <w:r>
        <w:rPr>
          <w:rFonts w:ascii="Bookman Old Style" w:hAnsi="Bookman Old Style"/>
        </w:rPr>
        <w:t>Walters’s expert testified at trial that when a convertible top is up and latched that the design objective is to have a three load path. The expert examined the vehicle and determined that the connections in the three load path failed</w:t>
      </w:r>
      <w:r w:rsidR="00E122BA">
        <w:rPr>
          <w:rFonts w:ascii="Bookman Old Style" w:hAnsi="Bookman Old Style"/>
        </w:rPr>
        <w:t xml:space="preserve"> due to the latches in the front failing during the crash</w:t>
      </w:r>
      <w:r>
        <w:rPr>
          <w:rFonts w:ascii="Bookman Old Style" w:hAnsi="Bookman Old Style"/>
        </w:rPr>
        <w:t xml:space="preserve">. </w:t>
      </w:r>
    </w:p>
    <w:p w14:paraId="7619ED19" w14:textId="1F72D3AD" w:rsidR="00317503" w:rsidRDefault="00317503" w:rsidP="0062692F">
      <w:pPr>
        <w:pStyle w:val="ListParagraph"/>
        <w:numPr>
          <w:ilvl w:val="3"/>
          <w:numId w:val="1"/>
        </w:numPr>
        <w:rPr>
          <w:rFonts w:ascii="Bookman Old Style" w:hAnsi="Bookman Old Style"/>
        </w:rPr>
      </w:pPr>
      <w:r>
        <w:rPr>
          <w:rFonts w:ascii="Bookman Old Style" w:hAnsi="Bookman Old Style"/>
        </w:rPr>
        <w:t>The expert testified that he did not apply any other safety standards than the “right</w:t>
      </w:r>
      <w:r w:rsidR="000A1A94">
        <w:rPr>
          <w:rFonts w:ascii="Bookman Old Style" w:hAnsi="Bookman Old Style"/>
        </w:rPr>
        <w:t>-hand rule”</w:t>
      </w:r>
      <w:r w:rsidR="00CF0DA0">
        <w:rPr>
          <w:rFonts w:ascii="Bookman Old Style" w:hAnsi="Bookman Old Style"/>
        </w:rPr>
        <w:t>, which is a rule of thumb followed by engineers to determine loading. He</w:t>
      </w:r>
      <w:r w:rsidR="000A1A94">
        <w:rPr>
          <w:rFonts w:ascii="Bookman Old Style" w:hAnsi="Bookman Old Style"/>
        </w:rPr>
        <w:t xml:space="preserve"> did not rely upon any engineering papers, literature, or written standards. He also did not perform a vibration analysis or test the latches at issue to determine under what circumstances vibration would cause the latches to part. </w:t>
      </w:r>
    </w:p>
    <w:p w14:paraId="3A6050A6" w14:textId="11A1E4DB" w:rsidR="000A1A94" w:rsidRDefault="003B6425" w:rsidP="0062692F">
      <w:pPr>
        <w:pStyle w:val="ListParagraph"/>
        <w:numPr>
          <w:ilvl w:val="3"/>
          <w:numId w:val="1"/>
        </w:numPr>
        <w:rPr>
          <w:rFonts w:ascii="Bookman Old Style" w:hAnsi="Bookman Old Style"/>
        </w:rPr>
      </w:pPr>
      <w:r>
        <w:rPr>
          <w:rFonts w:ascii="Bookman Old Style" w:hAnsi="Bookman Old Style"/>
        </w:rPr>
        <w:lastRenderedPageBreak/>
        <w:t xml:space="preserve">The Supreme Court found that the expert’s opinion was not admissible because it was based on two unfounded assumptions: (1) latches would not have disconnected if designed differently, and (2) if latches had held the roof would not have collapsed. There was no adequate foundation for the expert’s opinion. </w:t>
      </w:r>
    </w:p>
    <w:p w14:paraId="6177856A" w14:textId="77777777" w:rsidR="009B572B" w:rsidRPr="009B572B" w:rsidRDefault="009B572B" w:rsidP="009B572B">
      <w:pPr>
        <w:rPr>
          <w:rFonts w:ascii="Bookman Old Style" w:hAnsi="Bookman Old Style"/>
        </w:rPr>
      </w:pPr>
    </w:p>
    <w:p w14:paraId="30E0B21A" w14:textId="371D5FD8" w:rsidR="00FB6D97" w:rsidRPr="00115804" w:rsidRDefault="00FB6D97" w:rsidP="00FB6D97">
      <w:pPr>
        <w:pStyle w:val="ListParagraph"/>
        <w:numPr>
          <w:ilvl w:val="0"/>
          <w:numId w:val="1"/>
        </w:numPr>
        <w:rPr>
          <w:rFonts w:ascii="Bookman Old Style" w:hAnsi="Bookman Old Style"/>
        </w:rPr>
      </w:pPr>
      <w:r>
        <w:rPr>
          <w:rFonts w:ascii="Bookman Old Style" w:hAnsi="Bookman Old Style"/>
        </w:rPr>
        <w:t>Eviden</w:t>
      </w:r>
      <w:bookmarkStart w:id="0" w:name="_GoBack"/>
      <w:bookmarkEnd w:id="0"/>
      <w:r>
        <w:rPr>
          <w:rFonts w:ascii="Bookman Old Style" w:hAnsi="Bookman Old Style"/>
        </w:rPr>
        <w:t>ce Jeopardy</w:t>
      </w:r>
    </w:p>
    <w:sectPr w:rsidR="00FB6D97" w:rsidRPr="00115804" w:rsidSect="00214A5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D2E4C" w14:textId="77777777" w:rsidR="002F764C" w:rsidRDefault="002F764C" w:rsidP="007A2F75">
      <w:r>
        <w:separator/>
      </w:r>
    </w:p>
  </w:endnote>
  <w:endnote w:type="continuationSeparator" w:id="0">
    <w:p w14:paraId="2AAE5BE6" w14:textId="77777777" w:rsidR="002F764C" w:rsidRDefault="002F764C" w:rsidP="007A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6CEE0" w14:textId="77777777" w:rsidR="007A2F75" w:rsidRDefault="007A2F75" w:rsidP="00B72C4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DECF63" w14:textId="77777777" w:rsidR="007A2F75" w:rsidRDefault="007A2F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F43AF" w14:textId="4AB8E8D0" w:rsidR="007A2F75" w:rsidRPr="00214A5B" w:rsidRDefault="00A6088F" w:rsidP="00214A5B">
    <w:pPr>
      <w:pStyle w:val="Footer"/>
      <w:framePr w:wrap="none" w:vAnchor="text" w:hAnchor="margin" w:xAlign="center" w:y="1"/>
      <w:rPr>
        <w:rStyle w:val="PageNumber"/>
      </w:rPr>
    </w:pPr>
    <w:r w:rsidRPr="00A6088F">
      <w:rPr>
        <w:rStyle w:val="PageNumber"/>
        <w:noProof/>
        <w:vanish/>
        <w:sz w:val="16"/>
      </w:rPr>
      <w:t>{</w:t>
    </w:r>
    <w:r w:rsidRPr="00A6088F">
      <w:rPr>
        <w:rStyle w:val="PageNumber"/>
        <w:noProof/>
        <w:sz w:val="16"/>
      </w:rPr>
      <w:t>00893638-1</w:t>
    </w:r>
    <w:r w:rsidRPr="00A6088F">
      <w:rPr>
        <w:rStyle w:val="PageNumber"/>
        <w:noProof/>
        <w:vanish/>
        <w:sz w:val="16"/>
      </w:rPr>
      <w:t>}</w:t>
    </w:r>
    <w:r w:rsidR="00214A5B">
      <w:rPr>
        <w:rStyle w:val="PageNumber"/>
      </w:rPr>
      <w:tab/>
    </w:r>
    <w:r w:rsidR="007A2F75" w:rsidRPr="00214A5B">
      <w:rPr>
        <w:rStyle w:val="PageNumber"/>
      </w:rPr>
      <w:fldChar w:fldCharType="begin"/>
    </w:r>
    <w:r w:rsidR="007A2F75" w:rsidRPr="00214A5B">
      <w:rPr>
        <w:rStyle w:val="PageNumber"/>
      </w:rPr>
      <w:instrText xml:space="preserve">PAGE  </w:instrText>
    </w:r>
    <w:r w:rsidR="007A2F75" w:rsidRPr="00214A5B">
      <w:rPr>
        <w:rStyle w:val="PageNumber"/>
      </w:rPr>
      <w:fldChar w:fldCharType="separate"/>
    </w:r>
    <w:r>
      <w:rPr>
        <w:rStyle w:val="PageNumber"/>
        <w:noProof/>
      </w:rPr>
      <w:t>8</w:t>
    </w:r>
    <w:r w:rsidR="007A2F75" w:rsidRPr="00214A5B">
      <w:rPr>
        <w:rStyle w:val="PageNumber"/>
      </w:rPr>
      <w:fldChar w:fldCharType="end"/>
    </w:r>
  </w:p>
  <w:p w14:paraId="55F6AFB3" w14:textId="77777777" w:rsidR="007A2F75" w:rsidRPr="00214A5B" w:rsidRDefault="007A2F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93D0D" w14:textId="4A7EEC62" w:rsidR="00214A5B" w:rsidRPr="00214A5B" w:rsidRDefault="00A6088F" w:rsidP="00214A5B">
    <w:pPr>
      <w:pStyle w:val="Footer"/>
    </w:pPr>
    <w:r w:rsidRPr="00A6088F">
      <w:rPr>
        <w:noProof/>
        <w:vanish/>
        <w:sz w:val="16"/>
      </w:rPr>
      <w:t>{</w:t>
    </w:r>
    <w:r w:rsidRPr="00A6088F">
      <w:rPr>
        <w:noProof/>
        <w:sz w:val="16"/>
      </w:rPr>
      <w:t>00893638-1</w:t>
    </w:r>
    <w:r w:rsidRPr="00A6088F">
      <w:rPr>
        <w:noProof/>
        <w:vanish/>
        <w:sz w:val="16"/>
      </w:rPr>
      <w:t>}</w:t>
    </w:r>
    <w:r w:rsidR="00214A5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CBE5A" w14:textId="77777777" w:rsidR="002F764C" w:rsidRDefault="002F764C" w:rsidP="007A2F75">
      <w:pPr>
        <w:rPr>
          <w:noProof/>
        </w:rPr>
      </w:pPr>
      <w:r>
        <w:rPr>
          <w:noProof/>
        </w:rPr>
        <w:separator/>
      </w:r>
    </w:p>
  </w:footnote>
  <w:footnote w:type="continuationSeparator" w:id="0">
    <w:p w14:paraId="74052BFB" w14:textId="77777777" w:rsidR="002F764C" w:rsidRDefault="002F764C" w:rsidP="007A2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CE385" w14:textId="77777777" w:rsidR="00214A5B" w:rsidRDefault="00214A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F4CB9" w14:textId="77777777" w:rsidR="00214A5B" w:rsidRDefault="00214A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975E4" w14:textId="77777777" w:rsidR="00214A5B" w:rsidRDefault="00214A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C1FC7"/>
    <w:multiLevelType w:val="multilevel"/>
    <w:tmpl w:val="70C0076C"/>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1F375FF"/>
    <w:multiLevelType w:val="hybridMultilevel"/>
    <w:tmpl w:val="70C0076C"/>
    <w:lvl w:ilvl="0" w:tplc="419A05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dStampTxt" w:val="00893638-1"/>
  </w:docVars>
  <w:rsids>
    <w:rsidRoot w:val="00115804"/>
    <w:rsid w:val="00051586"/>
    <w:rsid w:val="000A1A94"/>
    <w:rsid w:val="000A2125"/>
    <w:rsid w:val="000A522E"/>
    <w:rsid w:val="000A7837"/>
    <w:rsid w:val="000E703D"/>
    <w:rsid w:val="00115804"/>
    <w:rsid w:val="0014505F"/>
    <w:rsid w:val="00157F43"/>
    <w:rsid w:val="00177B31"/>
    <w:rsid w:val="001A45EE"/>
    <w:rsid w:val="001E64E9"/>
    <w:rsid w:val="00214A5B"/>
    <w:rsid w:val="002440C4"/>
    <w:rsid w:val="002C7F8E"/>
    <w:rsid w:val="002F764C"/>
    <w:rsid w:val="00317503"/>
    <w:rsid w:val="00331AD6"/>
    <w:rsid w:val="003355A1"/>
    <w:rsid w:val="00385D15"/>
    <w:rsid w:val="00395D18"/>
    <w:rsid w:val="003B009E"/>
    <w:rsid w:val="003B6425"/>
    <w:rsid w:val="003B75F2"/>
    <w:rsid w:val="003E6A1E"/>
    <w:rsid w:val="00407CC5"/>
    <w:rsid w:val="00440733"/>
    <w:rsid w:val="0046053F"/>
    <w:rsid w:val="00461B1B"/>
    <w:rsid w:val="004A7CB9"/>
    <w:rsid w:val="00505295"/>
    <w:rsid w:val="005072BE"/>
    <w:rsid w:val="005856CB"/>
    <w:rsid w:val="00592FE7"/>
    <w:rsid w:val="00613E0A"/>
    <w:rsid w:val="0062692F"/>
    <w:rsid w:val="006424FA"/>
    <w:rsid w:val="0065668B"/>
    <w:rsid w:val="006F01A3"/>
    <w:rsid w:val="0078369A"/>
    <w:rsid w:val="007A2F75"/>
    <w:rsid w:val="008063EA"/>
    <w:rsid w:val="00845023"/>
    <w:rsid w:val="008612E6"/>
    <w:rsid w:val="008966B1"/>
    <w:rsid w:val="008A4305"/>
    <w:rsid w:val="009769D4"/>
    <w:rsid w:val="009775FC"/>
    <w:rsid w:val="009B572B"/>
    <w:rsid w:val="00A135E5"/>
    <w:rsid w:val="00A6088F"/>
    <w:rsid w:val="00A925DE"/>
    <w:rsid w:val="00A96C7C"/>
    <w:rsid w:val="00AA2869"/>
    <w:rsid w:val="00AB6E1E"/>
    <w:rsid w:val="00B21A13"/>
    <w:rsid w:val="00B4307C"/>
    <w:rsid w:val="00BA2D39"/>
    <w:rsid w:val="00BA54FE"/>
    <w:rsid w:val="00C125EC"/>
    <w:rsid w:val="00C125F2"/>
    <w:rsid w:val="00CF0DA0"/>
    <w:rsid w:val="00D04D77"/>
    <w:rsid w:val="00D75E36"/>
    <w:rsid w:val="00DF5ABE"/>
    <w:rsid w:val="00E122BA"/>
    <w:rsid w:val="00EA01BF"/>
    <w:rsid w:val="00ED01F3"/>
    <w:rsid w:val="00F91C9A"/>
    <w:rsid w:val="00FB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A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804"/>
    <w:pPr>
      <w:ind w:left="720"/>
      <w:contextualSpacing/>
    </w:pPr>
  </w:style>
  <w:style w:type="paragraph" w:styleId="Footer">
    <w:name w:val="footer"/>
    <w:basedOn w:val="Normal"/>
    <w:link w:val="FooterChar"/>
    <w:uiPriority w:val="99"/>
    <w:unhideWhenUsed/>
    <w:rsid w:val="007A2F75"/>
    <w:pPr>
      <w:tabs>
        <w:tab w:val="center" w:pos="4680"/>
        <w:tab w:val="right" w:pos="9360"/>
      </w:tabs>
    </w:pPr>
  </w:style>
  <w:style w:type="character" w:customStyle="1" w:styleId="FooterChar">
    <w:name w:val="Footer Char"/>
    <w:basedOn w:val="DefaultParagraphFont"/>
    <w:link w:val="Footer"/>
    <w:uiPriority w:val="99"/>
    <w:rsid w:val="007A2F75"/>
  </w:style>
  <w:style w:type="character" w:styleId="PageNumber">
    <w:name w:val="page number"/>
    <w:basedOn w:val="DefaultParagraphFont"/>
    <w:uiPriority w:val="99"/>
    <w:semiHidden/>
    <w:unhideWhenUsed/>
    <w:rsid w:val="007A2F75"/>
  </w:style>
  <w:style w:type="paragraph" w:customStyle="1" w:styleId="p1">
    <w:name w:val="p1"/>
    <w:basedOn w:val="Normal"/>
    <w:rsid w:val="009769D4"/>
    <w:rPr>
      <w:rFonts w:ascii="Times New Roman" w:hAnsi="Times New Roman" w:cs="Times New Roman"/>
      <w:sz w:val="18"/>
      <w:szCs w:val="18"/>
    </w:rPr>
  </w:style>
  <w:style w:type="paragraph" w:customStyle="1" w:styleId="p2">
    <w:name w:val="p2"/>
    <w:basedOn w:val="Normal"/>
    <w:rsid w:val="009769D4"/>
    <w:rPr>
      <w:rFonts w:ascii="Times New Roman" w:hAnsi="Times New Roman" w:cs="Times New Roman"/>
      <w:sz w:val="17"/>
      <w:szCs w:val="17"/>
    </w:rPr>
  </w:style>
  <w:style w:type="character" w:customStyle="1" w:styleId="apple-converted-space">
    <w:name w:val="apple-converted-space"/>
    <w:basedOn w:val="DefaultParagraphFont"/>
    <w:rsid w:val="009769D4"/>
  </w:style>
  <w:style w:type="paragraph" w:styleId="BalloonText">
    <w:name w:val="Balloon Text"/>
    <w:basedOn w:val="Normal"/>
    <w:link w:val="BalloonTextChar"/>
    <w:uiPriority w:val="99"/>
    <w:semiHidden/>
    <w:unhideWhenUsed/>
    <w:rsid w:val="00214A5B"/>
    <w:rPr>
      <w:rFonts w:ascii="Tahoma" w:hAnsi="Tahoma" w:cs="Tahoma"/>
      <w:sz w:val="16"/>
      <w:szCs w:val="16"/>
    </w:rPr>
  </w:style>
  <w:style w:type="character" w:customStyle="1" w:styleId="BalloonTextChar">
    <w:name w:val="Balloon Text Char"/>
    <w:basedOn w:val="DefaultParagraphFont"/>
    <w:link w:val="BalloonText"/>
    <w:uiPriority w:val="99"/>
    <w:semiHidden/>
    <w:rsid w:val="00214A5B"/>
    <w:rPr>
      <w:rFonts w:ascii="Tahoma" w:hAnsi="Tahoma" w:cs="Tahoma"/>
      <w:sz w:val="16"/>
      <w:szCs w:val="16"/>
    </w:rPr>
  </w:style>
  <w:style w:type="paragraph" w:styleId="Header">
    <w:name w:val="header"/>
    <w:basedOn w:val="Normal"/>
    <w:link w:val="HeaderChar"/>
    <w:uiPriority w:val="99"/>
    <w:unhideWhenUsed/>
    <w:rsid w:val="00214A5B"/>
    <w:pPr>
      <w:tabs>
        <w:tab w:val="center" w:pos="4680"/>
        <w:tab w:val="right" w:pos="9360"/>
      </w:tabs>
    </w:pPr>
  </w:style>
  <w:style w:type="character" w:customStyle="1" w:styleId="HeaderChar">
    <w:name w:val="Header Char"/>
    <w:basedOn w:val="DefaultParagraphFont"/>
    <w:link w:val="Header"/>
    <w:uiPriority w:val="99"/>
    <w:rsid w:val="00214A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804"/>
    <w:pPr>
      <w:ind w:left="720"/>
      <w:contextualSpacing/>
    </w:pPr>
  </w:style>
  <w:style w:type="paragraph" w:styleId="Footer">
    <w:name w:val="footer"/>
    <w:basedOn w:val="Normal"/>
    <w:link w:val="FooterChar"/>
    <w:uiPriority w:val="99"/>
    <w:unhideWhenUsed/>
    <w:rsid w:val="007A2F75"/>
    <w:pPr>
      <w:tabs>
        <w:tab w:val="center" w:pos="4680"/>
        <w:tab w:val="right" w:pos="9360"/>
      </w:tabs>
    </w:pPr>
  </w:style>
  <w:style w:type="character" w:customStyle="1" w:styleId="FooterChar">
    <w:name w:val="Footer Char"/>
    <w:basedOn w:val="DefaultParagraphFont"/>
    <w:link w:val="Footer"/>
    <w:uiPriority w:val="99"/>
    <w:rsid w:val="007A2F75"/>
  </w:style>
  <w:style w:type="character" w:styleId="PageNumber">
    <w:name w:val="page number"/>
    <w:basedOn w:val="DefaultParagraphFont"/>
    <w:uiPriority w:val="99"/>
    <w:semiHidden/>
    <w:unhideWhenUsed/>
    <w:rsid w:val="007A2F75"/>
  </w:style>
  <w:style w:type="paragraph" w:customStyle="1" w:styleId="p1">
    <w:name w:val="p1"/>
    <w:basedOn w:val="Normal"/>
    <w:rsid w:val="009769D4"/>
    <w:rPr>
      <w:rFonts w:ascii="Times New Roman" w:hAnsi="Times New Roman" w:cs="Times New Roman"/>
      <w:sz w:val="18"/>
      <w:szCs w:val="18"/>
    </w:rPr>
  </w:style>
  <w:style w:type="paragraph" w:customStyle="1" w:styleId="p2">
    <w:name w:val="p2"/>
    <w:basedOn w:val="Normal"/>
    <w:rsid w:val="009769D4"/>
    <w:rPr>
      <w:rFonts w:ascii="Times New Roman" w:hAnsi="Times New Roman" w:cs="Times New Roman"/>
      <w:sz w:val="17"/>
      <w:szCs w:val="17"/>
    </w:rPr>
  </w:style>
  <w:style w:type="character" w:customStyle="1" w:styleId="apple-converted-space">
    <w:name w:val="apple-converted-space"/>
    <w:basedOn w:val="DefaultParagraphFont"/>
    <w:rsid w:val="009769D4"/>
  </w:style>
  <w:style w:type="paragraph" w:styleId="BalloonText">
    <w:name w:val="Balloon Text"/>
    <w:basedOn w:val="Normal"/>
    <w:link w:val="BalloonTextChar"/>
    <w:uiPriority w:val="99"/>
    <w:semiHidden/>
    <w:unhideWhenUsed/>
    <w:rsid w:val="00214A5B"/>
    <w:rPr>
      <w:rFonts w:ascii="Tahoma" w:hAnsi="Tahoma" w:cs="Tahoma"/>
      <w:sz w:val="16"/>
      <w:szCs w:val="16"/>
    </w:rPr>
  </w:style>
  <w:style w:type="character" w:customStyle="1" w:styleId="BalloonTextChar">
    <w:name w:val="Balloon Text Char"/>
    <w:basedOn w:val="DefaultParagraphFont"/>
    <w:link w:val="BalloonText"/>
    <w:uiPriority w:val="99"/>
    <w:semiHidden/>
    <w:rsid w:val="00214A5B"/>
    <w:rPr>
      <w:rFonts w:ascii="Tahoma" w:hAnsi="Tahoma" w:cs="Tahoma"/>
      <w:sz w:val="16"/>
      <w:szCs w:val="16"/>
    </w:rPr>
  </w:style>
  <w:style w:type="paragraph" w:styleId="Header">
    <w:name w:val="header"/>
    <w:basedOn w:val="Normal"/>
    <w:link w:val="HeaderChar"/>
    <w:uiPriority w:val="99"/>
    <w:unhideWhenUsed/>
    <w:rsid w:val="00214A5B"/>
    <w:pPr>
      <w:tabs>
        <w:tab w:val="center" w:pos="4680"/>
        <w:tab w:val="right" w:pos="9360"/>
      </w:tabs>
    </w:pPr>
  </w:style>
  <w:style w:type="character" w:customStyle="1" w:styleId="HeaderChar">
    <w:name w:val="Header Char"/>
    <w:basedOn w:val="DefaultParagraphFont"/>
    <w:link w:val="Header"/>
    <w:uiPriority w:val="99"/>
    <w:rsid w:val="00214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493020">
      <w:bodyDiv w:val="1"/>
      <w:marLeft w:val="0"/>
      <w:marRight w:val="0"/>
      <w:marTop w:val="0"/>
      <w:marBottom w:val="0"/>
      <w:divBdr>
        <w:top w:val="none" w:sz="0" w:space="0" w:color="auto"/>
        <w:left w:val="none" w:sz="0" w:space="0" w:color="auto"/>
        <w:bottom w:val="none" w:sz="0" w:space="0" w:color="auto"/>
        <w:right w:val="none" w:sz="0" w:space="0" w:color="auto"/>
      </w:divBdr>
    </w:div>
    <w:div w:id="1745251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2155</Words>
  <Characters>10992</Characters>
  <Application>Microsoft Office Word</Application>
  <DocSecurity>0</DocSecurity>
  <PresentationFormat/>
  <Lines>301</Lines>
  <Paragraphs>109</Paragraphs>
  <ScaleCrop>false</ScaleCrop>
  <HeadingPairs>
    <vt:vector size="2" baseType="variant">
      <vt:variant>
        <vt:lpstr>Title</vt:lpstr>
      </vt:variant>
      <vt:variant>
        <vt:i4>1</vt:i4>
      </vt:variant>
    </vt:vector>
  </HeadingPairs>
  <TitlesOfParts>
    <vt:vector size="1" baseType="lpstr">
      <vt:lpstr>Inn of Court Evidence Jeopardy January 2017 (00893565).DOCX</vt:lpstr>
    </vt:vector>
  </TitlesOfParts>
  <Company>Bean Kinney Korman</Company>
  <LinksUpToDate>false</LinksUpToDate>
  <CharactersWithSpaces>13064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Inn of Court Evidence Jeopardy Outlin January 2017 (00893638).DOCX</dc:title>
  <dc:subject>00893638-1</dc:subject>
  <dc:creator>Louise Gitcheva</dc:creator>
  <cp:keywords/>
  <dc:description/>
  <cp:lastModifiedBy>ADMIN</cp:lastModifiedBy>
  <cp:revision>4</cp:revision>
  <dcterms:created xsi:type="dcterms:W3CDTF">2017-01-17T16:04:00Z</dcterms:created>
  <dcterms:modified xsi:type="dcterms:W3CDTF">2017-01-17T16:05:00Z</dcterms:modified>
</cp:coreProperties>
</file>