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E7" w:rsidRDefault="003647E7" w:rsidP="003647E7">
      <w:pPr>
        <w:pStyle w:val="BlockText"/>
        <w:spacing w:after="0"/>
      </w:pPr>
      <w:r>
        <w:t>Inns of Court</w:t>
      </w:r>
    </w:p>
    <w:p w:rsidR="003647E7" w:rsidRDefault="003647E7" w:rsidP="003647E7">
      <w:pPr>
        <w:pStyle w:val="BlockText"/>
        <w:spacing w:after="0"/>
      </w:pPr>
      <w:r>
        <w:t>November 10, 2015</w:t>
      </w:r>
    </w:p>
    <w:p w:rsidR="003647E7" w:rsidRDefault="003647E7" w:rsidP="003647E7">
      <w:pPr>
        <w:pStyle w:val="BlockText"/>
      </w:pPr>
    </w:p>
    <w:p w:rsidR="003647E7" w:rsidRDefault="003647E7" w:rsidP="003647E7">
      <w:pPr>
        <w:pStyle w:val="BlockText"/>
        <w:jc w:val="center"/>
        <w:rPr>
          <w:b/>
          <w:u w:val="single"/>
        </w:rPr>
      </w:pPr>
      <w:r w:rsidRPr="003647E7">
        <w:rPr>
          <w:b/>
          <w:u w:val="single"/>
        </w:rPr>
        <w:t>Ethical Considerations in Preparing Lay Witnesses</w:t>
      </w:r>
    </w:p>
    <w:p w:rsidR="003647E7" w:rsidRDefault="003647E7" w:rsidP="003647E7">
      <w:pPr>
        <w:pStyle w:val="BlockText"/>
      </w:pPr>
      <w:r>
        <w:tab/>
        <w:t>1. Perjury</w:t>
      </w:r>
    </w:p>
    <w:p w:rsidR="003647E7" w:rsidRDefault="003647E7" w:rsidP="003647E7">
      <w:pPr>
        <w:pStyle w:val="BlockText"/>
      </w:pPr>
      <w:r>
        <w:tab/>
      </w:r>
      <w:r>
        <w:tab/>
        <w:t>a. Duty of candor and other ethical obligations in preparing for court</w:t>
      </w:r>
    </w:p>
    <w:p w:rsidR="003647E7" w:rsidRDefault="003647E7" w:rsidP="003647E7">
      <w:pPr>
        <w:pStyle w:val="BlockText"/>
      </w:pPr>
      <w:r>
        <w:tab/>
      </w:r>
      <w:r>
        <w:tab/>
        <w:t>b. Your witness planning to perjure themselves</w:t>
      </w:r>
    </w:p>
    <w:p w:rsidR="003647E7" w:rsidRDefault="003647E7" w:rsidP="003647E7">
      <w:pPr>
        <w:pStyle w:val="BlockText"/>
      </w:pPr>
      <w:r>
        <w:tab/>
      </w:r>
      <w:r>
        <w:tab/>
      </w:r>
      <w:r>
        <w:tab/>
        <w:t>i. How to prevent</w:t>
      </w:r>
    </w:p>
    <w:p w:rsidR="003647E7" w:rsidRDefault="003647E7" w:rsidP="003647E7">
      <w:pPr>
        <w:pStyle w:val="BlockText"/>
      </w:pPr>
      <w:r>
        <w:tab/>
      </w:r>
      <w:r>
        <w:tab/>
      </w:r>
      <w:r>
        <w:tab/>
        <w:t>ii. What to do when things change at the last minute</w:t>
      </w:r>
    </w:p>
    <w:p w:rsidR="003647E7" w:rsidRDefault="003647E7" w:rsidP="003647E7">
      <w:pPr>
        <w:pStyle w:val="BlockText"/>
      </w:pPr>
      <w:r>
        <w:tab/>
      </w:r>
      <w:r>
        <w:tab/>
        <w:t>c. Correcting prior false testimony and other remedial measures</w:t>
      </w:r>
    </w:p>
    <w:p w:rsidR="003647E7" w:rsidRDefault="003647E7" w:rsidP="003647E7">
      <w:pPr>
        <w:pStyle w:val="BlockText"/>
      </w:pPr>
      <w:r>
        <w:tab/>
      </w:r>
      <w:r>
        <w:tab/>
        <w:t>d. Perjury vs. mistake</w:t>
      </w:r>
    </w:p>
    <w:p w:rsidR="003647E7" w:rsidRDefault="003647E7" w:rsidP="003647E7">
      <w:pPr>
        <w:pStyle w:val="BlockText"/>
      </w:pPr>
      <w:r>
        <w:tab/>
        <w:t>2. Exclusion</w:t>
      </w:r>
    </w:p>
    <w:p w:rsidR="003647E7" w:rsidRDefault="003647E7" w:rsidP="003647E7">
      <w:pPr>
        <w:pStyle w:val="BlockText"/>
      </w:pPr>
      <w:r>
        <w:tab/>
      </w:r>
      <w:r>
        <w:tab/>
        <w:t>a. Federal Rule of Evidence 615/Tax Court Rule 145</w:t>
      </w:r>
    </w:p>
    <w:p w:rsidR="003647E7" w:rsidRDefault="003647E7" w:rsidP="003647E7">
      <w:pPr>
        <w:pStyle w:val="BlockText"/>
      </w:pPr>
      <w:r>
        <w:tab/>
      </w:r>
      <w:r>
        <w:tab/>
      </w:r>
      <w:r>
        <w:tab/>
        <w:t>i. Contours of the rule</w:t>
      </w:r>
    </w:p>
    <w:p w:rsidR="003647E7" w:rsidRDefault="003647E7" w:rsidP="003647E7">
      <w:pPr>
        <w:pStyle w:val="BlockText"/>
      </w:pPr>
      <w:r>
        <w:tab/>
      </w:r>
      <w:r>
        <w:tab/>
        <w:t>b. Practice tips for using the rule and preparing your witness</w:t>
      </w:r>
    </w:p>
    <w:p w:rsidR="003647E7" w:rsidRDefault="003647E7" w:rsidP="003647E7">
      <w:pPr>
        <w:pStyle w:val="BlockText"/>
      </w:pPr>
      <w:r>
        <w:tab/>
      </w:r>
      <w:r>
        <w:tab/>
        <w:t xml:space="preserve">c. </w:t>
      </w:r>
      <w:proofErr w:type="spellStart"/>
      <w:r>
        <w:t>Caselaw</w:t>
      </w:r>
      <w:proofErr w:type="spellEnd"/>
      <w:r>
        <w:t xml:space="preserve"> discussing the Rule and sanctions</w:t>
      </w:r>
    </w:p>
    <w:p w:rsidR="003647E7" w:rsidRDefault="003647E7" w:rsidP="003647E7">
      <w:pPr>
        <w:pStyle w:val="BlockText"/>
      </w:pPr>
      <w:r>
        <w:tab/>
      </w:r>
      <w:r>
        <w:tab/>
        <w:t>d. Applicability of the Rule in depositions</w:t>
      </w:r>
    </w:p>
    <w:p w:rsidR="003647E7" w:rsidRDefault="003647E7" w:rsidP="003647E7">
      <w:pPr>
        <w:pStyle w:val="BlockText"/>
      </w:pPr>
      <w:r>
        <w:tab/>
        <w:t>3. Silent witness</w:t>
      </w:r>
    </w:p>
    <w:p w:rsidR="003647E7" w:rsidRDefault="003647E7" w:rsidP="003647E7">
      <w:pPr>
        <w:pStyle w:val="BlockText"/>
      </w:pPr>
      <w:r>
        <w:tab/>
      </w:r>
      <w:r>
        <w:tab/>
        <w:t>a. Lawyer as witness</w:t>
      </w:r>
    </w:p>
    <w:p w:rsidR="003647E7" w:rsidRDefault="003647E7" w:rsidP="003647E7">
      <w:pPr>
        <w:pStyle w:val="BlockText"/>
      </w:pPr>
      <w:r>
        <w:tab/>
      </w:r>
      <w:r>
        <w:tab/>
      </w:r>
      <w:r>
        <w:tab/>
        <w:t xml:space="preserve">i. </w:t>
      </w:r>
      <w:r w:rsidRPr="003647E7">
        <w:t>Subpoenaing a lawyer for testimony</w:t>
      </w:r>
    </w:p>
    <w:p w:rsidR="003647E7" w:rsidRDefault="003647E7" w:rsidP="003647E7">
      <w:pPr>
        <w:pStyle w:val="BlockText"/>
      </w:pPr>
      <w:r>
        <w:tab/>
      </w:r>
      <w:r>
        <w:tab/>
        <w:t>b. 5th Amendment</w:t>
      </w:r>
      <w:bookmarkStart w:id="0" w:name="_GoBack"/>
      <w:bookmarkEnd w:id="0"/>
    </w:p>
    <w:p w:rsidR="003647E7" w:rsidRDefault="003647E7" w:rsidP="003647E7">
      <w:pPr>
        <w:pStyle w:val="BlockText"/>
      </w:pPr>
      <w:r>
        <w:tab/>
      </w:r>
      <w:r>
        <w:tab/>
        <w:t>c. Negative inferences</w:t>
      </w:r>
    </w:p>
    <w:p w:rsidR="00B51F07" w:rsidRPr="00AD4F27" w:rsidRDefault="003647E7" w:rsidP="003647E7">
      <w:pPr>
        <w:pStyle w:val="BlockText"/>
      </w:pPr>
      <w:r>
        <w:tab/>
      </w:r>
      <w:r>
        <w:tab/>
        <w:t>d. Out of control witnesses</w:t>
      </w:r>
    </w:p>
    <w:sectPr w:rsidR="00B51F07" w:rsidRPr="00AD4F27" w:rsidSect="00972224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E7" w:rsidRDefault="003647E7" w:rsidP="009A2CBA">
      <w:r>
        <w:separator/>
      </w:r>
    </w:p>
  </w:endnote>
  <w:endnote w:type="continuationSeparator" w:id="0">
    <w:p w:rsidR="003647E7" w:rsidRDefault="003647E7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24" w:rsidRDefault="00972224" w:rsidP="000421B5">
    <w:pPr>
      <w:pStyle w:val="Footer"/>
    </w:pPr>
    <w:r>
      <w:tab/>
    </w:r>
    <w:r w:rsidR="00482AB7">
      <w:fldChar w:fldCharType="begin"/>
    </w:r>
    <w:r w:rsidR="00482AB7">
      <w:instrText xml:space="preserve"> PAGE   \* MERGEFORMAT </w:instrText>
    </w:r>
    <w:r w:rsidR="00482AB7">
      <w:fldChar w:fldCharType="separate"/>
    </w:r>
    <w:r>
      <w:rPr>
        <w:noProof/>
      </w:rPr>
      <w:t>1</w:t>
    </w:r>
    <w:r w:rsidR="00482AB7">
      <w:rPr>
        <w:noProof/>
      </w:rPr>
      <w:fldChar w:fldCharType="end"/>
    </w:r>
  </w:p>
  <w:p w:rsidR="000421B5" w:rsidRPr="00911FE4" w:rsidRDefault="003647E7" w:rsidP="000421B5">
    <w:pPr>
      <w:pStyle w:val="Footer"/>
      <w:rPr>
        <w:rStyle w:val="DocID"/>
      </w:rPr>
    </w:pPr>
    <w:r>
      <w:fldChar w:fldCharType="begin"/>
    </w:r>
    <w:r>
      <w:instrText xml:space="preserve"> DOCPROPERTY "DOCID" \* MERGEFORMAT </w:instrText>
    </w:r>
    <w:r>
      <w:fldChar w:fldCharType="separate"/>
    </w:r>
    <w:r w:rsidRPr="003647E7"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B5" w:rsidRPr="00911FE4" w:rsidRDefault="003C27A1" w:rsidP="000421B5">
    <w:pPr>
      <w:pStyle w:val="Footer"/>
      <w:rPr>
        <w:rStyle w:val="DocID"/>
      </w:rPr>
    </w:pPr>
    <w:r>
      <w:rPr>
        <w:sz w:val="20"/>
      </w:rPr>
      <w:fldChar w:fldCharType="begin"/>
    </w:r>
    <w:r w:rsidR="000421B5">
      <w:rPr>
        <w:sz w:val="20"/>
      </w:rPr>
      <w:instrText xml:space="preserve"> If </w:instrText>
    </w:r>
    <w:r>
      <w:rPr>
        <w:sz w:val="20"/>
      </w:rPr>
      <w:fldChar w:fldCharType="begin"/>
    </w:r>
    <w:r w:rsidR="000421B5">
      <w:rPr>
        <w:sz w:val="20"/>
      </w:rPr>
      <w:instrText xml:space="preserve"> numpages </w:instrText>
    </w:r>
    <w:r>
      <w:rPr>
        <w:sz w:val="20"/>
      </w:rPr>
      <w:fldChar w:fldCharType="separate"/>
    </w:r>
    <w:r w:rsidR="003647E7">
      <w:rPr>
        <w:noProof/>
        <w:sz w:val="20"/>
      </w:rPr>
      <w:instrText>1</w:instrText>
    </w:r>
    <w:r>
      <w:rPr>
        <w:sz w:val="20"/>
      </w:rPr>
      <w:fldChar w:fldCharType="end"/>
    </w:r>
    <w:r w:rsidR="000421B5">
      <w:rPr>
        <w:sz w:val="20"/>
      </w:rPr>
      <w:instrText xml:space="preserve"> = 1 </w:instrText>
    </w:r>
    <w:r w:rsidR="003647E7">
      <w:fldChar w:fldCharType="begin"/>
    </w:r>
    <w:r w:rsidR="003647E7">
      <w:instrText xml:space="preserve"> DOCPROPERTY "DOCID" \* MERGEFORMAT </w:instrText>
    </w:r>
    <w:r w:rsidR="003647E7">
      <w:fldChar w:fldCharType="separate"/>
    </w:r>
    <w:r w:rsidR="003647E7" w:rsidRPr="003647E7">
      <w:rPr>
        <w:rStyle w:val="DocID"/>
      </w:rPr>
      <w:instrText xml:space="preserve"> </w:instrText>
    </w:r>
    <w:r w:rsidR="003647E7">
      <w:rPr>
        <w:rStyle w:val="DocID"/>
      </w:rPr>
      <w:fldChar w:fldCharType="end"/>
    </w:r>
    <w:r w:rsidR="000421B5">
      <w:instrText xml:space="preserve"> ""</w:instrText>
    </w:r>
    <w:r w:rsidR="000421B5">
      <w:rPr>
        <w:sz w:val="20"/>
      </w:rPr>
      <w:instrText xml:space="preserve"> </w:instrText>
    </w:r>
    <w:r>
      <w:rPr>
        <w:sz w:val="20"/>
      </w:rPr>
      <w:fldChar w:fldCharType="separate"/>
    </w:r>
    <w:r w:rsidR="003647E7" w:rsidRPr="003647E7">
      <w:rPr>
        <w:rStyle w:val="DocID"/>
        <w:noProof/>
      </w:rPr>
      <w:t xml:space="preserve"> 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E7" w:rsidRDefault="003647E7" w:rsidP="009A2CBA">
      <w:r>
        <w:separator/>
      </w:r>
    </w:p>
  </w:footnote>
  <w:footnote w:type="continuationSeparator" w:id="0">
    <w:p w:rsidR="003647E7" w:rsidRDefault="003647E7" w:rsidP="009A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1"/>
  </w:num>
  <w:num w:numId="5">
    <w:abstractNumId w:val="23"/>
  </w:num>
  <w:num w:numId="6">
    <w:abstractNumId w:val="18"/>
  </w:num>
  <w:num w:numId="7">
    <w:abstractNumId w:val="16"/>
  </w:num>
  <w:num w:numId="8">
    <w:abstractNumId w:val="28"/>
  </w:num>
  <w:num w:numId="9">
    <w:abstractNumId w:val="17"/>
  </w:num>
  <w:num w:numId="10">
    <w:abstractNumId w:val="8"/>
  </w:num>
  <w:num w:numId="11">
    <w:abstractNumId w:val="7"/>
  </w:num>
  <w:num w:numId="12">
    <w:abstractNumId w:val="9"/>
  </w:num>
  <w:num w:numId="13">
    <w:abstractNumId w:val="15"/>
  </w:num>
  <w:num w:numId="14">
    <w:abstractNumId w:val="22"/>
  </w:num>
  <w:num w:numId="15">
    <w:abstractNumId w:val="25"/>
  </w:num>
  <w:num w:numId="16">
    <w:abstractNumId w:val="26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9"/>
  </w:num>
  <w:num w:numId="22">
    <w:abstractNumId w:val="29"/>
  </w:num>
  <w:num w:numId="23">
    <w:abstractNumId w:val="13"/>
  </w:num>
  <w:num w:numId="24">
    <w:abstractNumId w:val="12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E7"/>
    <w:rsid w:val="00027FC3"/>
    <w:rsid w:val="000421B5"/>
    <w:rsid w:val="000A4BA4"/>
    <w:rsid w:val="000F6911"/>
    <w:rsid w:val="001156AF"/>
    <w:rsid w:val="001963BC"/>
    <w:rsid w:val="001D1B70"/>
    <w:rsid w:val="002348A5"/>
    <w:rsid w:val="00243FF8"/>
    <w:rsid w:val="00246D22"/>
    <w:rsid w:val="002630F7"/>
    <w:rsid w:val="003319A7"/>
    <w:rsid w:val="00340740"/>
    <w:rsid w:val="003473F4"/>
    <w:rsid w:val="003647E7"/>
    <w:rsid w:val="003A4FB0"/>
    <w:rsid w:val="003C27A1"/>
    <w:rsid w:val="00482AB7"/>
    <w:rsid w:val="004B0CFA"/>
    <w:rsid w:val="004B1E86"/>
    <w:rsid w:val="004C3157"/>
    <w:rsid w:val="004C63D8"/>
    <w:rsid w:val="004F3D87"/>
    <w:rsid w:val="005237C4"/>
    <w:rsid w:val="005F4A79"/>
    <w:rsid w:val="00614279"/>
    <w:rsid w:val="00685808"/>
    <w:rsid w:val="006B1D63"/>
    <w:rsid w:val="006F336C"/>
    <w:rsid w:val="008667F9"/>
    <w:rsid w:val="008B6B8E"/>
    <w:rsid w:val="008C44B6"/>
    <w:rsid w:val="00933C83"/>
    <w:rsid w:val="00972224"/>
    <w:rsid w:val="009A2CBA"/>
    <w:rsid w:val="009B472E"/>
    <w:rsid w:val="009C6F42"/>
    <w:rsid w:val="00A47D5F"/>
    <w:rsid w:val="00A862A4"/>
    <w:rsid w:val="00A92BA2"/>
    <w:rsid w:val="00AB6124"/>
    <w:rsid w:val="00AD3673"/>
    <w:rsid w:val="00AD4F27"/>
    <w:rsid w:val="00B11BE8"/>
    <w:rsid w:val="00B1354A"/>
    <w:rsid w:val="00B362F3"/>
    <w:rsid w:val="00B51F07"/>
    <w:rsid w:val="00B55AA9"/>
    <w:rsid w:val="00BC3ED9"/>
    <w:rsid w:val="00C8621F"/>
    <w:rsid w:val="00CA1D5A"/>
    <w:rsid w:val="00D45220"/>
    <w:rsid w:val="00DE517B"/>
    <w:rsid w:val="00E3534A"/>
    <w:rsid w:val="00E95DE1"/>
    <w:rsid w:val="00F53B73"/>
    <w:rsid w:val="00F828AE"/>
    <w:rsid w:val="00F91E86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A730CC-B25E-4EB1-9E07-968CCD1D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8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614279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614279"/>
    <w:pPr>
      <w:spacing w:line="480" w:lineRule="auto"/>
      <w:ind w:left="144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K. Blickley</dc:creator>
  <cp:lastModifiedBy>Blickley, Elizabeth K (CHI - X66626)</cp:lastModifiedBy>
  <cp:revision>1</cp:revision>
  <dcterms:created xsi:type="dcterms:W3CDTF">2015-11-09T17:19:00Z</dcterms:created>
  <dcterms:modified xsi:type="dcterms:W3CDTF">2015-11-09T17:25:00Z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</Properties>
</file>