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81" w:rsidRPr="00063610" w:rsidRDefault="009B0581" w:rsidP="009B0581">
      <w:pPr>
        <w:pStyle w:val="NormalWeb"/>
        <w:rPr>
          <w:sz w:val="32"/>
          <w:szCs w:val="32"/>
        </w:rPr>
      </w:pPr>
      <w:r w:rsidRPr="00063610">
        <w:rPr>
          <w:sz w:val="32"/>
          <w:szCs w:val="32"/>
        </w:rPr>
        <w:t>Script for Inns of Court April 14, 2015</w:t>
      </w:r>
    </w:p>
    <w:p w:rsidR="009B0581" w:rsidRPr="00063610" w:rsidRDefault="009B0581" w:rsidP="009B0581">
      <w:pPr>
        <w:pStyle w:val="NormalWeb"/>
        <w:rPr>
          <w:sz w:val="32"/>
          <w:szCs w:val="32"/>
        </w:rPr>
      </w:pPr>
      <w:r w:rsidRPr="00063610">
        <w:rPr>
          <w:sz w:val="32"/>
          <w:szCs w:val="32"/>
        </w:rPr>
        <w:t xml:space="preserve">Tom: Introduction - Introduce players: </w:t>
      </w:r>
    </w:p>
    <w:p w:rsidR="009B0581" w:rsidRPr="00063610" w:rsidRDefault="009B0581" w:rsidP="009B0581">
      <w:pPr>
        <w:pStyle w:val="NormalWeb"/>
        <w:rPr>
          <w:sz w:val="32"/>
          <w:szCs w:val="32"/>
        </w:rPr>
      </w:pPr>
      <w:r w:rsidRPr="00063610">
        <w:rPr>
          <w:sz w:val="32"/>
          <w:szCs w:val="32"/>
        </w:rPr>
        <w:t>Drita</w:t>
      </w:r>
      <w:r w:rsidR="002139D0" w:rsidRPr="00063610">
        <w:rPr>
          <w:sz w:val="32"/>
          <w:szCs w:val="32"/>
        </w:rPr>
        <w:t xml:space="preserve">:  </w:t>
      </w:r>
      <w:r w:rsidRPr="00063610">
        <w:rPr>
          <w:sz w:val="32"/>
          <w:szCs w:val="32"/>
        </w:rPr>
        <w:t>IRS manager</w:t>
      </w:r>
    </w:p>
    <w:p w:rsidR="002139D0" w:rsidRPr="00063610" w:rsidRDefault="002139D0" w:rsidP="009B0581">
      <w:pPr>
        <w:pStyle w:val="NormalWeb"/>
        <w:rPr>
          <w:sz w:val="32"/>
          <w:szCs w:val="32"/>
        </w:rPr>
      </w:pPr>
      <w:r w:rsidRPr="00063610">
        <w:rPr>
          <w:sz w:val="32"/>
          <w:szCs w:val="32"/>
        </w:rPr>
        <w:t>Starling:  IRS special counsel</w:t>
      </w:r>
    </w:p>
    <w:p w:rsidR="009B0581" w:rsidRPr="00063610" w:rsidRDefault="009B0581" w:rsidP="009B0581">
      <w:pPr>
        <w:pStyle w:val="NormalWeb"/>
        <w:rPr>
          <w:sz w:val="32"/>
          <w:szCs w:val="32"/>
        </w:rPr>
      </w:pPr>
      <w:r w:rsidRPr="00063610">
        <w:rPr>
          <w:sz w:val="32"/>
          <w:szCs w:val="32"/>
        </w:rPr>
        <w:t>Charles</w:t>
      </w:r>
      <w:r w:rsidR="002139D0" w:rsidRPr="00063610">
        <w:rPr>
          <w:sz w:val="32"/>
          <w:szCs w:val="32"/>
        </w:rPr>
        <w:t xml:space="preserve">:  </w:t>
      </w:r>
      <w:r w:rsidRPr="00063610">
        <w:rPr>
          <w:sz w:val="32"/>
          <w:szCs w:val="32"/>
        </w:rPr>
        <w:t>DOJ manager</w:t>
      </w:r>
    </w:p>
    <w:p w:rsidR="009B0581" w:rsidRPr="00063610" w:rsidRDefault="00063610" w:rsidP="00063610">
      <w:pPr>
        <w:pStyle w:val="NormalWeb"/>
        <w:spacing w:line="360" w:lineRule="auto"/>
        <w:jc w:val="both"/>
        <w:rPr>
          <w:sz w:val="28"/>
          <w:szCs w:val="28"/>
        </w:rPr>
      </w:pPr>
      <w:r>
        <w:rPr>
          <w:sz w:val="28"/>
          <w:szCs w:val="28"/>
        </w:rPr>
        <w:t xml:space="preserve"> </w:t>
      </w:r>
    </w:p>
    <w:p w:rsidR="002139D0" w:rsidRPr="00063610" w:rsidRDefault="002139D0" w:rsidP="00063610">
      <w:pPr>
        <w:pStyle w:val="NormalWeb"/>
        <w:spacing w:line="360" w:lineRule="auto"/>
        <w:jc w:val="both"/>
        <w:rPr>
          <w:sz w:val="28"/>
          <w:szCs w:val="28"/>
        </w:rPr>
      </w:pPr>
      <w:r w:rsidRPr="00063610">
        <w:rPr>
          <w:b/>
          <w:sz w:val="28"/>
          <w:szCs w:val="28"/>
        </w:rPr>
        <w:t>Drita:</w:t>
      </w:r>
      <w:r w:rsidRPr="00063610">
        <w:rPr>
          <w:sz w:val="28"/>
          <w:szCs w:val="28"/>
        </w:rPr>
        <w:t xml:space="preserve">  </w:t>
      </w:r>
      <w:r w:rsidR="009B0581" w:rsidRPr="00063610">
        <w:rPr>
          <w:sz w:val="28"/>
          <w:szCs w:val="28"/>
        </w:rPr>
        <w:t xml:space="preserve">Good morning, </w:t>
      </w:r>
      <w:proofErr w:type="gramStart"/>
      <w:r w:rsidR="009B0581" w:rsidRPr="00063610">
        <w:rPr>
          <w:sz w:val="28"/>
          <w:szCs w:val="28"/>
        </w:rPr>
        <w:t>Charles,</w:t>
      </w:r>
      <w:proofErr w:type="gramEnd"/>
      <w:r w:rsidR="009B0581" w:rsidRPr="00063610">
        <w:rPr>
          <w:sz w:val="28"/>
          <w:szCs w:val="28"/>
        </w:rPr>
        <w:t xml:space="preserve"> thanks for </w:t>
      </w:r>
      <w:r w:rsidRPr="00063610">
        <w:rPr>
          <w:sz w:val="28"/>
          <w:szCs w:val="28"/>
        </w:rPr>
        <w:t xml:space="preserve">walking across the street </w:t>
      </w:r>
      <w:r w:rsidR="00063610" w:rsidRPr="00063610">
        <w:rPr>
          <w:sz w:val="28"/>
          <w:szCs w:val="28"/>
        </w:rPr>
        <w:t xml:space="preserve">from the Tax Division </w:t>
      </w:r>
      <w:r w:rsidRPr="00063610">
        <w:rPr>
          <w:sz w:val="28"/>
          <w:szCs w:val="28"/>
        </w:rPr>
        <w:t xml:space="preserve">to the IRS building.  I don’t know if you’ve met Starling, one of our special </w:t>
      </w:r>
      <w:proofErr w:type="gramStart"/>
      <w:r w:rsidRPr="00063610">
        <w:rPr>
          <w:sz w:val="28"/>
          <w:szCs w:val="28"/>
        </w:rPr>
        <w:t>counsel</w:t>
      </w:r>
      <w:proofErr w:type="gramEnd"/>
      <w:r w:rsidRPr="00063610">
        <w:rPr>
          <w:sz w:val="28"/>
          <w:szCs w:val="28"/>
        </w:rPr>
        <w:t xml:space="preserve"> working on FBAR </w:t>
      </w:r>
      <w:r w:rsidR="00063610" w:rsidRPr="00063610">
        <w:rPr>
          <w:sz w:val="28"/>
          <w:szCs w:val="28"/>
        </w:rPr>
        <w:t>matters</w:t>
      </w:r>
      <w:r w:rsidRPr="00063610">
        <w:rPr>
          <w:sz w:val="28"/>
          <w:szCs w:val="28"/>
        </w:rPr>
        <w:t>.</w:t>
      </w:r>
      <w:r w:rsidR="00063610" w:rsidRPr="00063610">
        <w:rPr>
          <w:sz w:val="28"/>
          <w:szCs w:val="28"/>
        </w:rPr>
        <w:t xml:space="preserve">  We should get started.  </w:t>
      </w:r>
      <w:r w:rsidRPr="00063610">
        <w:rPr>
          <w:sz w:val="28"/>
          <w:szCs w:val="28"/>
        </w:rPr>
        <w:t xml:space="preserve">  </w:t>
      </w:r>
      <w:proofErr w:type="gramStart"/>
      <w:r w:rsidRPr="00063610">
        <w:rPr>
          <w:i/>
          <w:sz w:val="28"/>
          <w:szCs w:val="28"/>
        </w:rPr>
        <w:t>(Everyone Shuffling Papers).</w:t>
      </w:r>
      <w:proofErr w:type="gramEnd"/>
      <w:r w:rsidRPr="00063610">
        <w:rPr>
          <w:sz w:val="28"/>
          <w:szCs w:val="28"/>
        </w:rPr>
        <w:t xml:space="preserve">  I know I have our memo here somewhere.  </w:t>
      </w:r>
    </w:p>
    <w:p w:rsidR="002139D0" w:rsidRPr="00063610" w:rsidRDefault="002139D0" w:rsidP="00063610">
      <w:pPr>
        <w:pStyle w:val="NormalWeb"/>
        <w:spacing w:line="360" w:lineRule="auto"/>
        <w:jc w:val="both"/>
        <w:rPr>
          <w:sz w:val="28"/>
          <w:szCs w:val="28"/>
        </w:rPr>
      </w:pPr>
      <w:r w:rsidRPr="00063610">
        <w:rPr>
          <w:b/>
          <w:sz w:val="28"/>
          <w:szCs w:val="28"/>
        </w:rPr>
        <w:t>Starling:</w:t>
      </w:r>
      <w:r w:rsidRPr="00063610">
        <w:rPr>
          <w:sz w:val="28"/>
          <w:szCs w:val="28"/>
        </w:rPr>
        <w:t xml:space="preserve"> Here it is. (</w:t>
      </w:r>
      <w:proofErr w:type="gramStart"/>
      <w:r w:rsidRPr="00063610">
        <w:rPr>
          <w:i/>
          <w:sz w:val="28"/>
          <w:szCs w:val="28"/>
        </w:rPr>
        <w:t>holding</w:t>
      </w:r>
      <w:proofErr w:type="gramEnd"/>
      <w:r w:rsidRPr="00063610">
        <w:rPr>
          <w:i/>
          <w:sz w:val="28"/>
          <w:szCs w:val="28"/>
        </w:rPr>
        <w:t xml:space="preserve"> up memo)  </w:t>
      </w:r>
      <w:r w:rsidRPr="00063610">
        <w:rPr>
          <w:sz w:val="28"/>
          <w:szCs w:val="28"/>
        </w:rPr>
        <w:t>“Training videos shall not use intergalactic themes.  List of acceptable themes includes …</w:t>
      </w:r>
      <w:proofErr w:type="gramStart"/>
      <w:r w:rsidRPr="00063610">
        <w:rPr>
          <w:sz w:val="28"/>
          <w:szCs w:val="28"/>
        </w:rPr>
        <w:t>”  No</w:t>
      </w:r>
      <w:proofErr w:type="gramEnd"/>
      <w:r w:rsidRPr="00063610">
        <w:rPr>
          <w:sz w:val="28"/>
          <w:szCs w:val="28"/>
        </w:rPr>
        <w:t xml:space="preserve">.  Sorry.  This is an internal memo.  </w:t>
      </w:r>
    </w:p>
    <w:p w:rsidR="002139D0" w:rsidRPr="00063610" w:rsidRDefault="002139D0" w:rsidP="00063610">
      <w:pPr>
        <w:pStyle w:val="NormalWeb"/>
        <w:spacing w:line="360" w:lineRule="auto"/>
        <w:jc w:val="both"/>
        <w:rPr>
          <w:sz w:val="28"/>
          <w:szCs w:val="28"/>
        </w:rPr>
      </w:pPr>
      <w:r w:rsidRPr="00063610">
        <w:rPr>
          <w:b/>
          <w:sz w:val="28"/>
          <w:szCs w:val="28"/>
        </w:rPr>
        <w:t xml:space="preserve">Charles:  </w:t>
      </w:r>
      <w:r w:rsidRPr="00063610">
        <w:rPr>
          <w:sz w:val="28"/>
          <w:szCs w:val="28"/>
        </w:rPr>
        <w:t>I got it.  I got it.</w:t>
      </w:r>
      <w:r w:rsidR="00063610">
        <w:rPr>
          <w:sz w:val="28"/>
          <w:szCs w:val="28"/>
        </w:rPr>
        <w:t xml:space="preserve">  Leave it to the Justice Department to have</w:t>
      </w:r>
      <w:r w:rsidR="005F0BD8">
        <w:rPr>
          <w:sz w:val="28"/>
          <w:szCs w:val="28"/>
        </w:rPr>
        <w:t xml:space="preserve"> the</w:t>
      </w:r>
      <w:r w:rsidR="00063610">
        <w:rPr>
          <w:sz w:val="28"/>
          <w:szCs w:val="28"/>
        </w:rPr>
        <w:t xml:space="preserve"> good judgment to </w:t>
      </w:r>
      <w:r w:rsidR="00F858EE">
        <w:rPr>
          <w:sz w:val="28"/>
          <w:szCs w:val="28"/>
        </w:rPr>
        <w:t xml:space="preserve">come </w:t>
      </w:r>
      <w:r w:rsidR="00063610">
        <w:rPr>
          <w:sz w:val="28"/>
          <w:szCs w:val="28"/>
        </w:rPr>
        <w:t>prepared</w:t>
      </w:r>
      <w:r w:rsidRPr="00063610">
        <w:rPr>
          <w:sz w:val="28"/>
          <w:szCs w:val="28"/>
        </w:rPr>
        <w:t xml:space="preserve"> </w:t>
      </w:r>
      <w:r w:rsidRPr="00063610">
        <w:rPr>
          <w:i/>
          <w:sz w:val="28"/>
          <w:szCs w:val="28"/>
        </w:rPr>
        <w:t>(reading)</w:t>
      </w:r>
      <w:r w:rsidRPr="00063610">
        <w:rPr>
          <w:sz w:val="28"/>
          <w:szCs w:val="28"/>
        </w:rPr>
        <w:t xml:space="preserve"> “Department attorneys </w:t>
      </w:r>
      <w:proofErr w:type="gramStart"/>
      <w:r w:rsidRPr="00063610">
        <w:rPr>
          <w:sz w:val="28"/>
          <w:szCs w:val="28"/>
        </w:rPr>
        <w:t>shall  hereafter</w:t>
      </w:r>
      <w:proofErr w:type="gramEnd"/>
      <w:r w:rsidRPr="00063610">
        <w:rPr>
          <w:sz w:val="28"/>
          <w:szCs w:val="28"/>
        </w:rPr>
        <w:t xml:space="preserve"> make every</w:t>
      </w:r>
      <w:r w:rsidR="00063610" w:rsidRPr="00063610">
        <w:rPr>
          <w:sz w:val="28"/>
          <w:szCs w:val="28"/>
        </w:rPr>
        <w:t xml:space="preserve"> practicable effort </w:t>
      </w:r>
      <w:r w:rsidRPr="00063610">
        <w:rPr>
          <w:sz w:val="28"/>
          <w:szCs w:val="28"/>
        </w:rPr>
        <w:t xml:space="preserve">to refrain from frequenting prostitutes.”  Oh, sorry, </w:t>
      </w:r>
      <w:r w:rsidR="00063610" w:rsidRPr="00063610">
        <w:rPr>
          <w:sz w:val="28"/>
          <w:szCs w:val="28"/>
        </w:rPr>
        <w:t xml:space="preserve">I guess </w:t>
      </w:r>
      <w:r w:rsidRPr="00063610">
        <w:rPr>
          <w:sz w:val="28"/>
          <w:szCs w:val="28"/>
        </w:rPr>
        <w:t xml:space="preserve">that’s the wrong one too.  </w:t>
      </w:r>
    </w:p>
    <w:p w:rsidR="009B0581" w:rsidRPr="00063610" w:rsidRDefault="00063610" w:rsidP="00063610">
      <w:pPr>
        <w:pStyle w:val="NormalWeb"/>
        <w:spacing w:line="360" w:lineRule="auto"/>
        <w:jc w:val="both"/>
        <w:rPr>
          <w:sz w:val="28"/>
          <w:szCs w:val="28"/>
        </w:rPr>
      </w:pPr>
      <w:r w:rsidRPr="00063610">
        <w:rPr>
          <w:b/>
          <w:sz w:val="28"/>
          <w:szCs w:val="28"/>
        </w:rPr>
        <w:t>Drita:</w:t>
      </w:r>
      <w:r w:rsidRPr="00063610">
        <w:rPr>
          <w:sz w:val="28"/>
          <w:szCs w:val="28"/>
        </w:rPr>
        <w:t xml:space="preserve">  </w:t>
      </w:r>
      <w:r w:rsidR="00F858EE">
        <w:rPr>
          <w:sz w:val="28"/>
          <w:szCs w:val="28"/>
        </w:rPr>
        <w:t xml:space="preserve">I guess folks in both of our buildings will now have to find new hobbies.  But </w:t>
      </w:r>
      <w:r w:rsidRPr="00063610">
        <w:rPr>
          <w:sz w:val="28"/>
          <w:szCs w:val="28"/>
        </w:rPr>
        <w:t xml:space="preserve">I think we can </w:t>
      </w:r>
      <w:r w:rsidR="005F0BD8">
        <w:rPr>
          <w:sz w:val="28"/>
          <w:szCs w:val="28"/>
        </w:rPr>
        <w:t xml:space="preserve">get by this afternoon </w:t>
      </w:r>
      <w:r w:rsidRPr="00063610">
        <w:rPr>
          <w:sz w:val="28"/>
          <w:szCs w:val="28"/>
        </w:rPr>
        <w:t xml:space="preserve">without a memo.  Thanks, Charles, </w:t>
      </w:r>
      <w:r w:rsidR="005F0BD8">
        <w:rPr>
          <w:sz w:val="28"/>
          <w:szCs w:val="28"/>
        </w:rPr>
        <w:t xml:space="preserve">for </w:t>
      </w:r>
      <w:r w:rsidR="009B0581" w:rsidRPr="00063610">
        <w:rPr>
          <w:sz w:val="28"/>
          <w:szCs w:val="28"/>
        </w:rPr>
        <w:t xml:space="preserve">taking the time to meet with us today.  We really wanted your input on a few FBAR cases we are thinking about referring for collection.  There are some tricky issues </w:t>
      </w:r>
      <w:r w:rsidRPr="00063610">
        <w:rPr>
          <w:sz w:val="28"/>
          <w:szCs w:val="28"/>
        </w:rPr>
        <w:lastRenderedPageBreak/>
        <w:t xml:space="preserve">and we all have limited resources, </w:t>
      </w:r>
      <w:r w:rsidR="009B0581" w:rsidRPr="00063610">
        <w:rPr>
          <w:sz w:val="28"/>
          <w:szCs w:val="28"/>
        </w:rPr>
        <w:t xml:space="preserve">so we wanted to get </w:t>
      </w:r>
      <w:r w:rsidRPr="00063610">
        <w:rPr>
          <w:sz w:val="28"/>
          <w:szCs w:val="28"/>
        </w:rPr>
        <w:t xml:space="preserve">the Tax Division’s </w:t>
      </w:r>
      <w:r w:rsidR="009B0581" w:rsidRPr="00063610">
        <w:rPr>
          <w:sz w:val="28"/>
          <w:szCs w:val="28"/>
        </w:rPr>
        <w:t xml:space="preserve">input before we </w:t>
      </w:r>
      <w:r w:rsidRPr="00063610">
        <w:rPr>
          <w:sz w:val="28"/>
          <w:szCs w:val="28"/>
        </w:rPr>
        <w:t xml:space="preserve">move forward.  </w:t>
      </w:r>
      <w:r>
        <w:rPr>
          <w:sz w:val="28"/>
          <w:szCs w:val="28"/>
        </w:rPr>
        <w:t>We have a few matters still hanging around from the UBS tax treaty production</w:t>
      </w:r>
      <w:r w:rsidR="00634CEA">
        <w:rPr>
          <w:sz w:val="28"/>
          <w:szCs w:val="28"/>
        </w:rPr>
        <w:t>, as well as some more current cases that we’ve picked up on quiet disclosures and some improper streamlined filings.</w:t>
      </w:r>
    </w:p>
    <w:p w:rsidR="009B0581" w:rsidRDefault="009B0581" w:rsidP="00063610">
      <w:pPr>
        <w:pStyle w:val="NormalWeb"/>
        <w:spacing w:line="360" w:lineRule="auto"/>
        <w:jc w:val="both"/>
        <w:rPr>
          <w:sz w:val="28"/>
          <w:szCs w:val="28"/>
        </w:rPr>
      </w:pPr>
      <w:r w:rsidRPr="00634CEA">
        <w:rPr>
          <w:b/>
          <w:sz w:val="28"/>
          <w:szCs w:val="28"/>
        </w:rPr>
        <w:t>Charles</w:t>
      </w:r>
      <w:r w:rsidRPr="00063610">
        <w:rPr>
          <w:sz w:val="28"/>
          <w:szCs w:val="28"/>
        </w:rPr>
        <w:t>:  Sure of course</w:t>
      </w:r>
      <w:r w:rsidR="00634CEA">
        <w:rPr>
          <w:sz w:val="28"/>
          <w:szCs w:val="28"/>
        </w:rPr>
        <w:t xml:space="preserve">.  But what are those.  I thought </w:t>
      </w:r>
      <w:r w:rsidR="005F0BD8">
        <w:rPr>
          <w:sz w:val="28"/>
          <w:szCs w:val="28"/>
        </w:rPr>
        <w:t>we were here to talk about FBARs</w:t>
      </w:r>
      <w:r w:rsidR="00634CEA">
        <w:rPr>
          <w:sz w:val="28"/>
          <w:szCs w:val="28"/>
        </w:rPr>
        <w:t xml:space="preserve">.  </w:t>
      </w:r>
    </w:p>
    <w:p w:rsidR="00634CEA" w:rsidRDefault="00634CEA" w:rsidP="00063610">
      <w:pPr>
        <w:pStyle w:val="NormalWeb"/>
        <w:spacing w:line="360" w:lineRule="auto"/>
        <w:jc w:val="both"/>
        <w:rPr>
          <w:sz w:val="28"/>
          <w:szCs w:val="28"/>
        </w:rPr>
      </w:pPr>
      <w:r>
        <w:rPr>
          <w:b/>
          <w:sz w:val="28"/>
          <w:szCs w:val="28"/>
        </w:rPr>
        <w:t>Starling:</w:t>
      </w:r>
      <w:r>
        <w:rPr>
          <w:sz w:val="28"/>
          <w:szCs w:val="28"/>
        </w:rPr>
        <w:t xml:space="preserve">  Well you know that even though we are still working UBS treaty cases as well as other foreign banks, more than 50,000 people have entered the IRS’s voluntary disclosure program.  But </w:t>
      </w:r>
      <w:r w:rsidR="00F858EE">
        <w:rPr>
          <w:sz w:val="28"/>
          <w:szCs w:val="28"/>
        </w:rPr>
        <w:t xml:space="preserve">some </w:t>
      </w:r>
      <w:r>
        <w:rPr>
          <w:sz w:val="28"/>
          <w:szCs w:val="28"/>
        </w:rPr>
        <w:t>taxpayers do</w:t>
      </w:r>
      <w:r w:rsidR="00F858EE">
        <w:rPr>
          <w:sz w:val="28"/>
          <w:szCs w:val="28"/>
        </w:rPr>
        <w:t xml:space="preserve">n’t </w:t>
      </w:r>
      <w:r>
        <w:rPr>
          <w:sz w:val="28"/>
          <w:szCs w:val="28"/>
        </w:rPr>
        <w:t>want to pay a 27 percent penalty in the disclosure program.  Th</w:t>
      </w:r>
      <w:r w:rsidR="00F858EE">
        <w:rPr>
          <w:sz w:val="28"/>
          <w:szCs w:val="28"/>
        </w:rPr>
        <w:t xml:space="preserve">ey </w:t>
      </w:r>
      <w:r>
        <w:rPr>
          <w:sz w:val="28"/>
          <w:szCs w:val="28"/>
        </w:rPr>
        <w:t xml:space="preserve">have made what we call a quiet disclosure where they </w:t>
      </w:r>
      <w:r w:rsidR="00F858EE">
        <w:rPr>
          <w:sz w:val="28"/>
          <w:szCs w:val="28"/>
        </w:rPr>
        <w:t xml:space="preserve">quietly </w:t>
      </w:r>
      <w:r>
        <w:rPr>
          <w:sz w:val="28"/>
          <w:szCs w:val="28"/>
        </w:rPr>
        <w:t>file amended ta</w:t>
      </w:r>
      <w:r w:rsidR="00F858EE">
        <w:rPr>
          <w:sz w:val="28"/>
          <w:szCs w:val="28"/>
        </w:rPr>
        <w:t>x returns and delinquent FBARs and hope we don’t notice.  T</w:t>
      </w:r>
      <w:r>
        <w:rPr>
          <w:sz w:val="28"/>
          <w:szCs w:val="28"/>
        </w:rPr>
        <w:t>hey don’t get any protection from criminal prosecution</w:t>
      </w:r>
      <w:r w:rsidR="005F0BD8">
        <w:rPr>
          <w:sz w:val="28"/>
          <w:szCs w:val="28"/>
        </w:rPr>
        <w:t xml:space="preserve">, but </w:t>
      </w:r>
      <w:r>
        <w:rPr>
          <w:sz w:val="28"/>
          <w:szCs w:val="28"/>
        </w:rPr>
        <w:t xml:space="preserve">they </w:t>
      </w:r>
      <w:r w:rsidR="005F0BD8">
        <w:rPr>
          <w:sz w:val="28"/>
          <w:szCs w:val="28"/>
        </w:rPr>
        <w:t xml:space="preserve">also </w:t>
      </w:r>
      <w:r>
        <w:rPr>
          <w:sz w:val="28"/>
          <w:szCs w:val="28"/>
        </w:rPr>
        <w:t xml:space="preserve">don’t pay the 27 percent penalty.  </w:t>
      </w:r>
    </w:p>
    <w:p w:rsidR="00634CEA" w:rsidRDefault="00634CEA" w:rsidP="00063610">
      <w:pPr>
        <w:pStyle w:val="NormalWeb"/>
        <w:spacing w:line="360" w:lineRule="auto"/>
        <w:jc w:val="both"/>
        <w:rPr>
          <w:sz w:val="28"/>
          <w:szCs w:val="28"/>
        </w:rPr>
      </w:pPr>
      <w:r>
        <w:rPr>
          <w:b/>
          <w:sz w:val="28"/>
          <w:szCs w:val="28"/>
        </w:rPr>
        <w:t>Charles:</w:t>
      </w:r>
      <w:r>
        <w:rPr>
          <w:sz w:val="28"/>
          <w:szCs w:val="28"/>
        </w:rPr>
        <w:t xml:space="preserve">  That sounds like a better deal than OVDI.  </w:t>
      </w:r>
    </w:p>
    <w:p w:rsidR="00634CEA" w:rsidRDefault="00634CEA" w:rsidP="00063610">
      <w:pPr>
        <w:pStyle w:val="NormalWeb"/>
        <w:spacing w:line="360" w:lineRule="auto"/>
        <w:jc w:val="both"/>
        <w:rPr>
          <w:sz w:val="28"/>
          <w:szCs w:val="28"/>
        </w:rPr>
      </w:pPr>
      <w:r>
        <w:rPr>
          <w:b/>
          <w:sz w:val="28"/>
          <w:szCs w:val="28"/>
        </w:rPr>
        <w:t xml:space="preserve">Starling:  </w:t>
      </w:r>
      <w:r w:rsidR="005F0BD8">
        <w:rPr>
          <w:sz w:val="28"/>
          <w:szCs w:val="28"/>
        </w:rPr>
        <w:t xml:space="preserve">Only if they haven’t acted willfully for the purposes of </w:t>
      </w:r>
      <w:r>
        <w:rPr>
          <w:sz w:val="28"/>
          <w:szCs w:val="28"/>
        </w:rPr>
        <w:t>the FBAR penalty.  The IRS looks at delinquent FBARs and amend</w:t>
      </w:r>
      <w:r w:rsidR="005F0BD8">
        <w:rPr>
          <w:sz w:val="28"/>
          <w:szCs w:val="28"/>
        </w:rPr>
        <w:t>ed returns</w:t>
      </w:r>
      <w:r>
        <w:rPr>
          <w:sz w:val="28"/>
          <w:szCs w:val="28"/>
        </w:rPr>
        <w:t xml:space="preserve"> and tries to determine if </w:t>
      </w:r>
      <w:r w:rsidR="005F0BD8">
        <w:rPr>
          <w:sz w:val="28"/>
          <w:szCs w:val="28"/>
        </w:rPr>
        <w:t>a</w:t>
      </w:r>
      <w:r>
        <w:rPr>
          <w:sz w:val="28"/>
          <w:szCs w:val="28"/>
        </w:rPr>
        <w:t xml:space="preserve"> willful or non-willful FBAR penalty should be imposed.  </w:t>
      </w:r>
    </w:p>
    <w:p w:rsidR="00634CEA" w:rsidRDefault="00634CEA" w:rsidP="00063610">
      <w:pPr>
        <w:pStyle w:val="NormalWeb"/>
        <w:spacing w:line="360" w:lineRule="auto"/>
        <w:jc w:val="both"/>
        <w:rPr>
          <w:sz w:val="28"/>
          <w:szCs w:val="28"/>
        </w:rPr>
      </w:pPr>
      <w:r>
        <w:rPr>
          <w:b/>
          <w:sz w:val="28"/>
          <w:szCs w:val="28"/>
        </w:rPr>
        <w:t>Drita</w:t>
      </w:r>
      <w:r>
        <w:rPr>
          <w:sz w:val="28"/>
          <w:szCs w:val="28"/>
        </w:rPr>
        <w:t xml:space="preserve">:  And last June the IRS expanded its </w:t>
      </w:r>
      <w:proofErr w:type="gramStart"/>
      <w:r>
        <w:rPr>
          <w:sz w:val="28"/>
          <w:szCs w:val="28"/>
        </w:rPr>
        <w:t>Streamlined</w:t>
      </w:r>
      <w:proofErr w:type="gramEnd"/>
      <w:r>
        <w:rPr>
          <w:sz w:val="28"/>
          <w:szCs w:val="28"/>
        </w:rPr>
        <w:t xml:space="preserve"> program for taxpayers </w:t>
      </w:r>
      <w:r w:rsidR="00F858EE">
        <w:rPr>
          <w:sz w:val="28"/>
          <w:szCs w:val="28"/>
        </w:rPr>
        <w:t xml:space="preserve">with foreign bank accounts </w:t>
      </w:r>
      <w:r w:rsidR="0003178B">
        <w:rPr>
          <w:sz w:val="28"/>
          <w:szCs w:val="28"/>
        </w:rPr>
        <w:t xml:space="preserve">who </w:t>
      </w:r>
      <w:r w:rsidR="00F858EE">
        <w:rPr>
          <w:sz w:val="28"/>
          <w:szCs w:val="28"/>
        </w:rPr>
        <w:t xml:space="preserve">believe </w:t>
      </w:r>
      <w:r w:rsidR="0003178B">
        <w:rPr>
          <w:sz w:val="28"/>
          <w:szCs w:val="28"/>
        </w:rPr>
        <w:t>they have not acted willfully.  But some of those taxpayers are willful, so we have an expanding number of cases</w:t>
      </w:r>
      <w:r w:rsidR="00F858EE">
        <w:rPr>
          <w:sz w:val="28"/>
          <w:szCs w:val="28"/>
        </w:rPr>
        <w:t xml:space="preserve"> under review</w:t>
      </w:r>
      <w:r w:rsidR="0003178B">
        <w:rPr>
          <w:sz w:val="28"/>
          <w:szCs w:val="28"/>
        </w:rPr>
        <w:t xml:space="preserve">.  </w:t>
      </w:r>
    </w:p>
    <w:p w:rsidR="00F858EE" w:rsidRDefault="00F858EE" w:rsidP="00063610">
      <w:pPr>
        <w:pStyle w:val="NormalWeb"/>
        <w:spacing w:line="360" w:lineRule="auto"/>
        <w:jc w:val="both"/>
        <w:rPr>
          <w:sz w:val="28"/>
          <w:szCs w:val="28"/>
        </w:rPr>
      </w:pPr>
      <w:r>
        <w:rPr>
          <w:b/>
          <w:sz w:val="28"/>
          <w:szCs w:val="28"/>
        </w:rPr>
        <w:lastRenderedPageBreak/>
        <w:t xml:space="preserve">Charles:  </w:t>
      </w:r>
      <w:r>
        <w:rPr>
          <w:sz w:val="28"/>
          <w:szCs w:val="28"/>
        </w:rPr>
        <w:t xml:space="preserve">You mentioned UBS.  That was a long time ago.  How can we still have any open cases?  </w:t>
      </w:r>
      <w:r w:rsidR="005F0BD8">
        <w:rPr>
          <w:sz w:val="28"/>
          <w:szCs w:val="28"/>
        </w:rPr>
        <w:t>Section 6501 of t</w:t>
      </w:r>
      <w:r>
        <w:rPr>
          <w:sz w:val="28"/>
          <w:szCs w:val="28"/>
        </w:rPr>
        <w:t xml:space="preserve">he Internal Revenue Code has a general 3 year limitations period.  </w:t>
      </w:r>
    </w:p>
    <w:p w:rsidR="00F858EE" w:rsidRDefault="00F858EE" w:rsidP="00063610">
      <w:pPr>
        <w:pStyle w:val="NormalWeb"/>
        <w:spacing w:line="360" w:lineRule="auto"/>
        <w:jc w:val="both"/>
        <w:rPr>
          <w:sz w:val="28"/>
          <w:szCs w:val="28"/>
        </w:rPr>
      </w:pPr>
      <w:r>
        <w:rPr>
          <w:b/>
          <w:sz w:val="28"/>
          <w:szCs w:val="28"/>
        </w:rPr>
        <w:t xml:space="preserve">Starling:  </w:t>
      </w:r>
      <w:r>
        <w:rPr>
          <w:sz w:val="28"/>
          <w:szCs w:val="28"/>
        </w:rPr>
        <w:t xml:space="preserve">The Internal Revenue Code is not applicable here.  FBARs are in Title 31, and Section 5321 provides for a 6 year limitations period for making an assessment.  </w:t>
      </w:r>
    </w:p>
    <w:p w:rsidR="00F858EE" w:rsidRDefault="00F858EE" w:rsidP="00063610">
      <w:pPr>
        <w:pStyle w:val="NormalWeb"/>
        <w:spacing w:line="360" w:lineRule="auto"/>
        <w:jc w:val="both"/>
        <w:rPr>
          <w:sz w:val="28"/>
          <w:szCs w:val="28"/>
        </w:rPr>
      </w:pPr>
      <w:r>
        <w:rPr>
          <w:b/>
          <w:sz w:val="28"/>
          <w:szCs w:val="28"/>
        </w:rPr>
        <w:t xml:space="preserve">Drita:  </w:t>
      </w:r>
      <w:r>
        <w:rPr>
          <w:sz w:val="28"/>
          <w:szCs w:val="28"/>
        </w:rPr>
        <w:t xml:space="preserve">And after the assessment has been made, if the accountholder does not pay the assessment, we then have 2 years to refer the case to </w:t>
      </w:r>
      <w:r w:rsidR="005F0BD8">
        <w:rPr>
          <w:sz w:val="28"/>
          <w:szCs w:val="28"/>
        </w:rPr>
        <w:t xml:space="preserve">you to file suit and begin </w:t>
      </w:r>
      <w:r>
        <w:rPr>
          <w:sz w:val="28"/>
          <w:szCs w:val="28"/>
        </w:rPr>
        <w:t xml:space="preserve">collection.  So for taxpayers with accounts in 2006, the FBAR would have been due on June 30, 2007, and the assessment must have been made by June 30, 2013.  That means we have cases from 2006 that can still be referred to the Tax Division for collection.  </w:t>
      </w:r>
    </w:p>
    <w:p w:rsidR="00174955" w:rsidRPr="00174955" w:rsidRDefault="00174955" w:rsidP="00063610">
      <w:pPr>
        <w:pStyle w:val="NormalWeb"/>
        <w:spacing w:line="360" w:lineRule="auto"/>
        <w:jc w:val="both"/>
        <w:rPr>
          <w:sz w:val="28"/>
          <w:szCs w:val="28"/>
        </w:rPr>
      </w:pPr>
      <w:r>
        <w:rPr>
          <w:b/>
          <w:sz w:val="28"/>
          <w:szCs w:val="28"/>
        </w:rPr>
        <w:t xml:space="preserve">Charles:  </w:t>
      </w:r>
      <w:r w:rsidR="005F0BD8">
        <w:rPr>
          <w:sz w:val="28"/>
          <w:szCs w:val="28"/>
        </w:rPr>
        <w:t xml:space="preserve">2006.  </w:t>
      </w:r>
      <w:r>
        <w:rPr>
          <w:sz w:val="28"/>
          <w:szCs w:val="28"/>
        </w:rPr>
        <w:t xml:space="preserve">Oh the good ole days, when </w:t>
      </w:r>
      <w:r w:rsidR="005F0BD8">
        <w:rPr>
          <w:sz w:val="28"/>
          <w:szCs w:val="28"/>
        </w:rPr>
        <w:t xml:space="preserve">the good folks in this building </w:t>
      </w:r>
      <w:r>
        <w:rPr>
          <w:sz w:val="28"/>
          <w:szCs w:val="28"/>
        </w:rPr>
        <w:t xml:space="preserve">could still command the Starship Enterprise, and when </w:t>
      </w:r>
      <w:r w:rsidR="005F0BD8">
        <w:rPr>
          <w:sz w:val="28"/>
          <w:szCs w:val="28"/>
        </w:rPr>
        <w:t xml:space="preserve">over at our building </w:t>
      </w:r>
      <w:r>
        <w:rPr>
          <w:sz w:val="28"/>
          <w:szCs w:val="28"/>
        </w:rPr>
        <w:t xml:space="preserve">we could … Well, where were we.  </w:t>
      </w:r>
    </w:p>
    <w:p w:rsidR="00174955" w:rsidRDefault="009B0581" w:rsidP="00063610">
      <w:pPr>
        <w:pStyle w:val="NormalWeb"/>
        <w:spacing w:line="360" w:lineRule="auto"/>
        <w:jc w:val="both"/>
        <w:rPr>
          <w:sz w:val="28"/>
          <w:szCs w:val="28"/>
        </w:rPr>
      </w:pPr>
      <w:r w:rsidRPr="00174955">
        <w:rPr>
          <w:b/>
          <w:sz w:val="28"/>
          <w:szCs w:val="28"/>
        </w:rPr>
        <w:t>Drita:</w:t>
      </w:r>
      <w:r w:rsidRPr="00063610">
        <w:rPr>
          <w:sz w:val="28"/>
          <w:szCs w:val="28"/>
        </w:rPr>
        <w:t xml:space="preserve">  </w:t>
      </w:r>
      <w:r w:rsidR="00174955">
        <w:rPr>
          <w:sz w:val="28"/>
          <w:szCs w:val="28"/>
        </w:rPr>
        <w:t>L</w:t>
      </w:r>
      <w:r w:rsidRPr="00063610">
        <w:rPr>
          <w:sz w:val="28"/>
          <w:szCs w:val="28"/>
        </w:rPr>
        <w:t>et</w:t>
      </w:r>
      <w:r w:rsidR="00174955">
        <w:rPr>
          <w:sz w:val="28"/>
          <w:szCs w:val="28"/>
        </w:rPr>
        <w:t>’</w:t>
      </w:r>
      <w:r w:rsidRPr="00063610">
        <w:rPr>
          <w:sz w:val="28"/>
          <w:szCs w:val="28"/>
        </w:rPr>
        <w:t xml:space="preserve">s jump into </w:t>
      </w:r>
      <w:r w:rsidR="00174955">
        <w:rPr>
          <w:sz w:val="28"/>
          <w:szCs w:val="28"/>
        </w:rPr>
        <w:t xml:space="preserve">our cases.  </w:t>
      </w:r>
      <w:r w:rsidRPr="00063610">
        <w:rPr>
          <w:sz w:val="28"/>
          <w:szCs w:val="28"/>
        </w:rPr>
        <w:t>Our first case, we will call the taxpayer Jane Smith, she lives in Asia, and we assessed a $10,000 non-</w:t>
      </w:r>
      <w:proofErr w:type="spellStart"/>
      <w:r w:rsidRPr="00063610">
        <w:rPr>
          <w:sz w:val="28"/>
          <w:szCs w:val="28"/>
        </w:rPr>
        <w:t>wilfull</w:t>
      </w:r>
      <w:proofErr w:type="spellEnd"/>
      <w:r w:rsidRPr="00063610">
        <w:rPr>
          <w:sz w:val="28"/>
          <w:szCs w:val="28"/>
        </w:rPr>
        <w:t xml:space="preserve"> penalty against her </w:t>
      </w:r>
      <w:r w:rsidR="00AB7550">
        <w:rPr>
          <w:sz w:val="28"/>
          <w:szCs w:val="28"/>
        </w:rPr>
        <w:t>22</w:t>
      </w:r>
      <w:r w:rsidR="005F0BD8">
        <w:rPr>
          <w:sz w:val="28"/>
          <w:szCs w:val="28"/>
        </w:rPr>
        <w:t xml:space="preserve"> months ago</w:t>
      </w:r>
      <w:r w:rsidRPr="00063610">
        <w:rPr>
          <w:sz w:val="28"/>
          <w:szCs w:val="28"/>
        </w:rPr>
        <w:t xml:space="preserve">. </w:t>
      </w:r>
    </w:p>
    <w:p w:rsidR="00174955" w:rsidRDefault="00174955" w:rsidP="00063610">
      <w:pPr>
        <w:pStyle w:val="NormalWeb"/>
        <w:spacing w:line="360" w:lineRule="auto"/>
        <w:jc w:val="both"/>
        <w:rPr>
          <w:sz w:val="28"/>
          <w:szCs w:val="28"/>
        </w:rPr>
      </w:pPr>
      <w:r>
        <w:rPr>
          <w:b/>
          <w:sz w:val="28"/>
          <w:szCs w:val="28"/>
        </w:rPr>
        <w:t xml:space="preserve">Charles:  </w:t>
      </w:r>
      <w:r>
        <w:rPr>
          <w:sz w:val="28"/>
          <w:szCs w:val="28"/>
        </w:rPr>
        <w:t xml:space="preserve">I guess your revenue officers have a tough time serving levies.  </w:t>
      </w:r>
    </w:p>
    <w:p w:rsidR="00174955" w:rsidRDefault="00174955" w:rsidP="00063610">
      <w:pPr>
        <w:pStyle w:val="NormalWeb"/>
        <w:spacing w:line="360" w:lineRule="auto"/>
        <w:jc w:val="both"/>
        <w:rPr>
          <w:sz w:val="28"/>
          <w:szCs w:val="28"/>
        </w:rPr>
      </w:pPr>
      <w:r>
        <w:rPr>
          <w:b/>
          <w:sz w:val="28"/>
          <w:szCs w:val="28"/>
        </w:rPr>
        <w:t>Starling</w:t>
      </w:r>
      <w:r>
        <w:rPr>
          <w:sz w:val="28"/>
          <w:szCs w:val="28"/>
        </w:rPr>
        <w:t>:  Title 31</w:t>
      </w:r>
      <w:r w:rsidR="005F0BD8">
        <w:rPr>
          <w:sz w:val="28"/>
          <w:szCs w:val="28"/>
        </w:rPr>
        <w:t xml:space="preserve"> doesn’t allow o</w:t>
      </w:r>
      <w:r>
        <w:rPr>
          <w:sz w:val="28"/>
          <w:szCs w:val="28"/>
        </w:rPr>
        <w:t xml:space="preserve">ur revenue officers </w:t>
      </w:r>
      <w:r w:rsidR="00AB7550">
        <w:rPr>
          <w:sz w:val="28"/>
          <w:szCs w:val="28"/>
        </w:rPr>
        <w:t>to serve title 26 levies.  For the most part, c</w:t>
      </w:r>
      <w:r>
        <w:rPr>
          <w:sz w:val="28"/>
          <w:szCs w:val="28"/>
        </w:rPr>
        <w:t xml:space="preserve">ollection is done by a different part of </w:t>
      </w:r>
      <w:r>
        <w:rPr>
          <w:sz w:val="28"/>
          <w:szCs w:val="28"/>
        </w:rPr>
        <w:lastRenderedPageBreak/>
        <w:t xml:space="preserve">Treasury.  They generally don’t have as powerful of collection tools as we have under the Internal Revenue Code.  They can collect pretty easily by offset, such as holding tax refunds.  But I’m not sure how much more than that they really do.  </w:t>
      </w:r>
    </w:p>
    <w:p w:rsidR="00205C78" w:rsidRDefault="00205C78" w:rsidP="00063610">
      <w:pPr>
        <w:pStyle w:val="NormalWeb"/>
        <w:spacing w:line="360" w:lineRule="auto"/>
        <w:jc w:val="both"/>
        <w:rPr>
          <w:sz w:val="28"/>
          <w:szCs w:val="28"/>
        </w:rPr>
      </w:pPr>
      <w:r>
        <w:rPr>
          <w:b/>
          <w:sz w:val="28"/>
          <w:szCs w:val="28"/>
        </w:rPr>
        <w:t xml:space="preserve">Charles:  </w:t>
      </w:r>
      <w:r>
        <w:rPr>
          <w:sz w:val="28"/>
          <w:szCs w:val="28"/>
        </w:rPr>
        <w:t xml:space="preserve">Well they really can’t get much done in two years then, can they?  </w:t>
      </w:r>
    </w:p>
    <w:p w:rsidR="00205C78" w:rsidRDefault="00205C78" w:rsidP="00063610">
      <w:pPr>
        <w:pStyle w:val="NormalWeb"/>
        <w:spacing w:line="360" w:lineRule="auto"/>
        <w:jc w:val="both"/>
        <w:rPr>
          <w:sz w:val="28"/>
          <w:szCs w:val="28"/>
        </w:rPr>
      </w:pPr>
      <w:r>
        <w:rPr>
          <w:b/>
          <w:sz w:val="28"/>
          <w:szCs w:val="28"/>
        </w:rPr>
        <w:t>Starling:</w:t>
      </w:r>
      <w:r>
        <w:rPr>
          <w:sz w:val="28"/>
          <w:szCs w:val="28"/>
        </w:rPr>
        <w:t xml:space="preserve">  That’s the interesting thing.  Section 3716 of Title 31 has no collection limitations period.  Treasury can offset forever.  </w:t>
      </w:r>
      <w:r w:rsidR="00AB7550">
        <w:rPr>
          <w:sz w:val="28"/>
          <w:szCs w:val="28"/>
        </w:rPr>
        <w:t xml:space="preserve">It is only if we want to bring a collection action in court that we have a 2 year limitations period.  </w:t>
      </w:r>
    </w:p>
    <w:p w:rsidR="00205C78" w:rsidRDefault="00205C78" w:rsidP="00063610">
      <w:pPr>
        <w:pStyle w:val="NormalWeb"/>
        <w:spacing w:line="360" w:lineRule="auto"/>
        <w:jc w:val="both"/>
        <w:rPr>
          <w:sz w:val="28"/>
          <w:szCs w:val="28"/>
        </w:rPr>
      </w:pPr>
      <w:r>
        <w:rPr>
          <w:b/>
          <w:sz w:val="28"/>
          <w:szCs w:val="28"/>
        </w:rPr>
        <w:t xml:space="preserve">Charles:  </w:t>
      </w:r>
      <w:r>
        <w:rPr>
          <w:sz w:val="28"/>
          <w:szCs w:val="28"/>
        </w:rPr>
        <w:t xml:space="preserve">Well, if she lives in Asia, there probably aren’t a lot of offsets available.  What assets does she have in the US?  </w:t>
      </w:r>
    </w:p>
    <w:p w:rsidR="00205C78" w:rsidRPr="00205C78" w:rsidRDefault="00205C78" w:rsidP="00063610">
      <w:pPr>
        <w:pStyle w:val="NormalWeb"/>
        <w:spacing w:line="360" w:lineRule="auto"/>
        <w:jc w:val="both"/>
        <w:rPr>
          <w:sz w:val="28"/>
          <w:szCs w:val="28"/>
        </w:rPr>
      </w:pPr>
      <w:r>
        <w:rPr>
          <w:b/>
          <w:sz w:val="28"/>
          <w:szCs w:val="28"/>
        </w:rPr>
        <w:t xml:space="preserve">Starling:  </w:t>
      </w:r>
      <w:r>
        <w:rPr>
          <w:sz w:val="28"/>
          <w:szCs w:val="28"/>
        </w:rPr>
        <w:t xml:space="preserve">None.  </w:t>
      </w:r>
    </w:p>
    <w:p w:rsidR="009B0581" w:rsidRPr="00063610" w:rsidRDefault="009B0581" w:rsidP="00063610">
      <w:pPr>
        <w:pStyle w:val="NormalWeb"/>
        <w:spacing w:line="360" w:lineRule="auto"/>
        <w:jc w:val="both"/>
        <w:rPr>
          <w:sz w:val="28"/>
          <w:szCs w:val="28"/>
        </w:rPr>
      </w:pPr>
      <w:r w:rsidRPr="00205C78">
        <w:rPr>
          <w:b/>
          <w:sz w:val="28"/>
          <w:szCs w:val="28"/>
        </w:rPr>
        <w:t xml:space="preserve">Charles: </w:t>
      </w:r>
      <w:r w:rsidRPr="00063610">
        <w:rPr>
          <w:sz w:val="28"/>
          <w:szCs w:val="28"/>
        </w:rPr>
        <w:t xml:space="preserve"> Well, you could refer the case to us, but we would have to act fast because </w:t>
      </w:r>
      <w:r w:rsidR="00205C78">
        <w:rPr>
          <w:sz w:val="28"/>
          <w:szCs w:val="28"/>
        </w:rPr>
        <w:t xml:space="preserve">I assume the two-year </w:t>
      </w:r>
      <w:proofErr w:type="gramStart"/>
      <w:r w:rsidR="00205C78">
        <w:rPr>
          <w:sz w:val="28"/>
          <w:szCs w:val="28"/>
        </w:rPr>
        <w:t>period  expires</w:t>
      </w:r>
      <w:proofErr w:type="gramEnd"/>
      <w:r w:rsidR="00205C78">
        <w:rPr>
          <w:sz w:val="28"/>
          <w:szCs w:val="28"/>
        </w:rPr>
        <w:t xml:space="preserve"> </w:t>
      </w:r>
      <w:r w:rsidR="00AB7550">
        <w:rPr>
          <w:sz w:val="28"/>
          <w:szCs w:val="28"/>
        </w:rPr>
        <w:t xml:space="preserve">before June 30, </w:t>
      </w:r>
      <w:r w:rsidR="00205C78">
        <w:rPr>
          <w:sz w:val="28"/>
          <w:szCs w:val="28"/>
        </w:rPr>
        <w:t>in about 6 weeks.  B</w:t>
      </w:r>
      <w:r w:rsidRPr="00063610">
        <w:rPr>
          <w:sz w:val="28"/>
          <w:szCs w:val="28"/>
        </w:rPr>
        <w:t xml:space="preserve">ut what would a judgment </w:t>
      </w:r>
      <w:r w:rsidR="00205C78">
        <w:rPr>
          <w:sz w:val="28"/>
          <w:szCs w:val="28"/>
        </w:rPr>
        <w:t xml:space="preserve">really do for us at this point if there are no assets?  It seems like a lot of work on a small case.  If she moves back to the US in ten years, you are saying that Treasury will still be able to make offsets?  </w:t>
      </w:r>
    </w:p>
    <w:p w:rsidR="009B0581" w:rsidRPr="00063610" w:rsidRDefault="009B0581" w:rsidP="00063610">
      <w:pPr>
        <w:pStyle w:val="NormalWeb"/>
        <w:spacing w:line="360" w:lineRule="auto"/>
        <w:jc w:val="both"/>
        <w:rPr>
          <w:sz w:val="28"/>
          <w:szCs w:val="28"/>
        </w:rPr>
      </w:pPr>
      <w:r w:rsidRPr="00205C78">
        <w:rPr>
          <w:b/>
          <w:sz w:val="28"/>
          <w:szCs w:val="28"/>
        </w:rPr>
        <w:t>Drita:</w:t>
      </w:r>
      <w:r w:rsidRPr="00063610">
        <w:rPr>
          <w:sz w:val="28"/>
          <w:szCs w:val="28"/>
        </w:rPr>
        <w:t xml:space="preserve">  </w:t>
      </w:r>
      <w:r w:rsidR="00205C78">
        <w:rPr>
          <w:sz w:val="28"/>
          <w:szCs w:val="28"/>
        </w:rPr>
        <w:t xml:space="preserve">Yes.  </w:t>
      </w:r>
      <w:r w:rsidRPr="00063610">
        <w:rPr>
          <w:sz w:val="28"/>
          <w:szCs w:val="28"/>
        </w:rPr>
        <w:t xml:space="preserve">I guess it wouldn't </w:t>
      </w:r>
      <w:r w:rsidR="00205C78">
        <w:rPr>
          <w:sz w:val="28"/>
          <w:szCs w:val="28"/>
        </w:rPr>
        <w:t xml:space="preserve">make sense to refer that case to you then, would it.  </w:t>
      </w:r>
    </w:p>
    <w:p w:rsidR="009B0581" w:rsidRPr="00063610" w:rsidRDefault="009B0581" w:rsidP="00063610">
      <w:pPr>
        <w:pStyle w:val="NormalWeb"/>
        <w:spacing w:line="360" w:lineRule="auto"/>
        <w:jc w:val="both"/>
        <w:rPr>
          <w:sz w:val="28"/>
          <w:szCs w:val="28"/>
        </w:rPr>
      </w:pPr>
      <w:r w:rsidRPr="00063610">
        <w:rPr>
          <w:sz w:val="28"/>
          <w:szCs w:val="28"/>
        </w:rPr>
        <w:t xml:space="preserve">I think this second case is a little more of a close call- Joe </w:t>
      </w:r>
      <w:proofErr w:type="spellStart"/>
      <w:r w:rsidRPr="00063610">
        <w:rPr>
          <w:sz w:val="28"/>
          <w:szCs w:val="28"/>
        </w:rPr>
        <w:t>Schmoe</w:t>
      </w:r>
      <w:proofErr w:type="spellEnd"/>
      <w:r w:rsidRPr="00063610">
        <w:rPr>
          <w:sz w:val="28"/>
          <w:szCs w:val="28"/>
        </w:rPr>
        <w:t xml:space="preserve"> resides in the US and we do believe he has assets here as well.  We </w:t>
      </w:r>
      <w:r w:rsidRPr="00063610">
        <w:rPr>
          <w:sz w:val="28"/>
          <w:szCs w:val="28"/>
        </w:rPr>
        <w:lastRenderedPageBreak/>
        <w:t>assessed a $30,000 non-</w:t>
      </w:r>
      <w:proofErr w:type="spellStart"/>
      <w:r w:rsidRPr="00063610">
        <w:rPr>
          <w:sz w:val="28"/>
          <w:szCs w:val="28"/>
        </w:rPr>
        <w:t>wilfulness</w:t>
      </w:r>
      <w:proofErr w:type="spellEnd"/>
      <w:r w:rsidRPr="00063610">
        <w:rPr>
          <w:sz w:val="28"/>
          <w:szCs w:val="28"/>
        </w:rPr>
        <w:t xml:space="preserve"> penalty against him.  His last two </w:t>
      </w:r>
      <w:r w:rsidR="00AB7550">
        <w:rPr>
          <w:sz w:val="28"/>
          <w:szCs w:val="28"/>
        </w:rPr>
        <w:t>tax refunds have been offset. We</w:t>
      </w:r>
      <w:r w:rsidRPr="00063610">
        <w:rPr>
          <w:sz w:val="28"/>
          <w:szCs w:val="28"/>
        </w:rPr>
        <w:t xml:space="preserve"> need to make a decision about whether to bring an action because t</w:t>
      </w:r>
      <w:r w:rsidR="0059546E">
        <w:rPr>
          <w:sz w:val="28"/>
          <w:szCs w:val="28"/>
        </w:rPr>
        <w:t>he two year statute is running.</w:t>
      </w:r>
    </w:p>
    <w:p w:rsidR="009B0581" w:rsidRPr="00063610" w:rsidRDefault="009B0581" w:rsidP="00063610">
      <w:pPr>
        <w:pStyle w:val="NormalWeb"/>
        <w:spacing w:line="360" w:lineRule="auto"/>
        <w:jc w:val="both"/>
        <w:rPr>
          <w:sz w:val="28"/>
          <w:szCs w:val="28"/>
        </w:rPr>
      </w:pPr>
      <w:r w:rsidRPr="0059546E">
        <w:rPr>
          <w:b/>
          <w:sz w:val="28"/>
          <w:szCs w:val="28"/>
        </w:rPr>
        <w:t>Charles:</w:t>
      </w:r>
      <w:r w:rsidRPr="00063610">
        <w:rPr>
          <w:sz w:val="28"/>
          <w:szCs w:val="28"/>
        </w:rPr>
        <w:t xml:space="preserve"> </w:t>
      </w:r>
      <w:r w:rsidR="0059546E">
        <w:rPr>
          <w:sz w:val="28"/>
          <w:szCs w:val="28"/>
        </w:rPr>
        <w:t xml:space="preserve"> </w:t>
      </w:r>
      <w:r w:rsidRPr="00063610">
        <w:rPr>
          <w:sz w:val="28"/>
          <w:szCs w:val="28"/>
        </w:rPr>
        <w:t xml:space="preserve">That is trickier because he is living here and has assets. We would most likely be able to collect on a judgment. </w:t>
      </w:r>
      <w:r w:rsidR="00AB7550">
        <w:rPr>
          <w:sz w:val="28"/>
          <w:szCs w:val="28"/>
        </w:rPr>
        <w:t xml:space="preserve"> But</w:t>
      </w:r>
      <w:r w:rsidRPr="00063610">
        <w:rPr>
          <w:sz w:val="28"/>
          <w:szCs w:val="28"/>
        </w:rPr>
        <w:t xml:space="preserve"> it</w:t>
      </w:r>
      <w:r w:rsidR="0059546E">
        <w:rPr>
          <w:sz w:val="28"/>
          <w:szCs w:val="28"/>
        </w:rPr>
        <w:t>’</w:t>
      </w:r>
      <w:r w:rsidRPr="00063610">
        <w:rPr>
          <w:sz w:val="28"/>
          <w:szCs w:val="28"/>
        </w:rPr>
        <w:t xml:space="preserve">s </w:t>
      </w:r>
      <w:r w:rsidR="0059546E">
        <w:rPr>
          <w:sz w:val="28"/>
          <w:szCs w:val="28"/>
        </w:rPr>
        <w:t xml:space="preserve">still </w:t>
      </w:r>
      <w:r w:rsidRPr="00063610">
        <w:rPr>
          <w:sz w:val="28"/>
          <w:szCs w:val="28"/>
        </w:rPr>
        <w:t>a relatively small amount of money and it would cost a pretty penny to prep and bring an action to</w:t>
      </w:r>
      <w:r w:rsidR="0059546E">
        <w:rPr>
          <w:sz w:val="28"/>
          <w:szCs w:val="28"/>
        </w:rPr>
        <w:t xml:space="preserve"> reduce assessment to judgment.  Are there any other reasons to bring a court action?  Are you looking to publicize non-willful </w:t>
      </w:r>
      <w:proofErr w:type="gramStart"/>
      <w:r w:rsidR="0059546E">
        <w:rPr>
          <w:sz w:val="28"/>
          <w:szCs w:val="28"/>
        </w:rPr>
        <w:t>cases.</w:t>
      </w:r>
      <w:proofErr w:type="gramEnd"/>
      <w:r w:rsidR="0059546E">
        <w:rPr>
          <w:sz w:val="28"/>
          <w:szCs w:val="28"/>
        </w:rPr>
        <w:t xml:space="preserve">  </w:t>
      </w:r>
    </w:p>
    <w:p w:rsidR="0059546E" w:rsidRDefault="009B0581" w:rsidP="00063610">
      <w:pPr>
        <w:pStyle w:val="NormalWeb"/>
        <w:spacing w:line="360" w:lineRule="auto"/>
        <w:jc w:val="both"/>
        <w:rPr>
          <w:sz w:val="28"/>
          <w:szCs w:val="28"/>
        </w:rPr>
      </w:pPr>
      <w:r w:rsidRPr="0059546E">
        <w:rPr>
          <w:b/>
          <w:sz w:val="28"/>
          <w:szCs w:val="28"/>
        </w:rPr>
        <w:t>Drita:</w:t>
      </w:r>
      <w:r w:rsidRPr="00063610">
        <w:rPr>
          <w:sz w:val="28"/>
          <w:szCs w:val="28"/>
        </w:rPr>
        <w:t xml:space="preserve"> </w:t>
      </w:r>
      <w:r w:rsidR="0059546E">
        <w:rPr>
          <w:sz w:val="28"/>
          <w:szCs w:val="28"/>
        </w:rPr>
        <w:t xml:space="preserve"> No, we have a few pending and it is really just a collection matter.  </w:t>
      </w:r>
      <w:r w:rsidRPr="00063610">
        <w:rPr>
          <w:sz w:val="28"/>
          <w:szCs w:val="28"/>
        </w:rPr>
        <w:t xml:space="preserve">I think it may make sense to keep us in the unlimited statute then and just wait to collect via offset. </w:t>
      </w:r>
    </w:p>
    <w:p w:rsidR="001927CA" w:rsidRDefault="0059546E" w:rsidP="00063610">
      <w:pPr>
        <w:pStyle w:val="NormalWeb"/>
        <w:spacing w:line="360" w:lineRule="auto"/>
        <w:jc w:val="both"/>
        <w:rPr>
          <w:sz w:val="28"/>
          <w:szCs w:val="28"/>
        </w:rPr>
      </w:pPr>
      <w:r>
        <w:rPr>
          <w:b/>
          <w:sz w:val="28"/>
          <w:szCs w:val="28"/>
        </w:rPr>
        <w:t xml:space="preserve">Starling:  </w:t>
      </w:r>
      <w:r w:rsidR="009B0581" w:rsidRPr="00063610">
        <w:rPr>
          <w:sz w:val="28"/>
          <w:szCs w:val="28"/>
        </w:rPr>
        <w:t xml:space="preserve">Ok, these last two cases are bigger </w:t>
      </w:r>
      <w:r>
        <w:rPr>
          <w:sz w:val="28"/>
          <w:szCs w:val="28"/>
        </w:rPr>
        <w:t xml:space="preserve">cases involving </w:t>
      </w:r>
      <w:proofErr w:type="gramStart"/>
      <w:r w:rsidR="00AB7550">
        <w:rPr>
          <w:sz w:val="28"/>
          <w:szCs w:val="28"/>
        </w:rPr>
        <w:t xml:space="preserve">the </w:t>
      </w:r>
      <w:r>
        <w:rPr>
          <w:sz w:val="28"/>
          <w:szCs w:val="28"/>
        </w:rPr>
        <w:t xml:space="preserve"> willful</w:t>
      </w:r>
      <w:proofErr w:type="gramEnd"/>
      <w:r>
        <w:rPr>
          <w:sz w:val="28"/>
          <w:szCs w:val="28"/>
        </w:rPr>
        <w:t xml:space="preserve"> failure to file FBAR</w:t>
      </w:r>
      <w:r w:rsidR="00AB7550">
        <w:rPr>
          <w:sz w:val="28"/>
          <w:szCs w:val="28"/>
        </w:rPr>
        <w:t>s</w:t>
      </w:r>
      <w:r>
        <w:rPr>
          <w:sz w:val="28"/>
          <w:szCs w:val="28"/>
        </w:rPr>
        <w:t>.  In t</w:t>
      </w:r>
      <w:r w:rsidR="009B0581" w:rsidRPr="00063610">
        <w:rPr>
          <w:sz w:val="28"/>
          <w:szCs w:val="28"/>
        </w:rPr>
        <w:t>he first</w:t>
      </w:r>
      <w:r>
        <w:rPr>
          <w:sz w:val="28"/>
          <w:szCs w:val="28"/>
        </w:rPr>
        <w:t xml:space="preserve"> one</w:t>
      </w:r>
      <w:r w:rsidR="009B0581" w:rsidRPr="00063610">
        <w:rPr>
          <w:sz w:val="28"/>
          <w:szCs w:val="28"/>
        </w:rPr>
        <w:t xml:space="preserve">, we assessed </w:t>
      </w:r>
      <w:r>
        <w:rPr>
          <w:sz w:val="28"/>
          <w:szCs w:val="28"/>
        </w:rPr>
        <w:t>a $500</w:t>
      </w:r>
      <w:proofErr w:type="gramStart"/>
      <w:r>
        <w:rPr>
          <w:sz w:val="28"/>
          <w:szCs w:val="28"/>
        </w:rPr>
        <w:t>,0000</w:t>
      </w:r>
      <w:proofErr w:type="gramEnd"/>
      <w:r>
        <w:rPr>
          <w:sz w:val="28"/>
          <w:szCs w:val="28"/>
        </w:rPr>
        <w:t xml:space="preserve"> penalty </w:t>
      </w:r>
      <w:r w:rsidR="009B0581" w:rsidRPr="00063610">
        <w:rPr>
          <w:sz w:val="28"/>
          <w:szCs w:val="28"/>
        </w:rPr>
        <w:t>three years ago</w:t>
      </w:r>
      <w:r>
        <w:rPr>
          <w:sz w:val="28"/>
          <w:szCs w:val="28"/>
        </w:rPr>
        <w:t xml:space="preserve">.  But the taxpayer has been residing outside of the United States </w:t>
      </w:r>
      <w:r w:rsidR="009B0581" w:rsidRPr="00063610">
        <w:rPr>
          <w:sz w:val="28"/>
          <w:szCs w:val="28"/>
        </w:rPr>
        <w:t>for more than 6 months</w:t>
      </w:r>
      <w:r>
        <w:rPr>
          <w:sz w:val="28"/>
          <w:szCs w:val="28"/>
        </w:rPr>
        <w:t xml:space="preserve">, in fact, for more than two years. </w:t>
      </w:r>
    </w:p>
    <w:p w:rsidR="001927CA" w:rsidRDefault="001927CA" w:rsidP="00063610">
      <w:pPr>
        <w:pStyle w:val="NormalWeb"/>
        <w:spacing w:line="360" w:lineRule="auto"/>
        <w:jc w:val="both"/>
        <w:rPr>
          <w:sz w:val="28"/>
          <w:szCs w:val="28"/>
        </w:rPr>
      </w:pPr>
      <w:r>
        <w:rPr>
          <w:b/>
          <w:sz w:val="28"/>
          <w:szCs w:val="28"/>
        </w:rPr>
        <w:t xml:space="preserve">Charles:  </w:t>
      </w:r>
      <w:r>
        <w:rPr>
          <w:sz w:val="28"/>
          <w:szCs w:val="28"/>
        </w:rPr>
        <w:t xml:space="preserve">So 6503(c) extends the </w:t>
      </w:r>
      <w:bookmarkStart w:id="0" w:name="_GoBack"/>
      <w:bookmarkEnd w:id="0"/>
      <w:r>
        <w:rPr>
          <w:sz w:val="28"/>
          <w:szCs w:val="28"/>
        </w:rPr>
        <w:t xml:space="preserve">period?  </w:t>
      </w:r>
    </w:p>
    <w:p w:rsidR="009B0581" w:rsidRDefault="001927CA" w:rsidP="00063610">
      <w:pPr>
        <w:pStyle w:val="NormalWeb"/>
        <w:spacing w:line="360" w:lineRule="auto"/>
        <w:jc w:val="both"/>
        <w:rPr>
          <w:sz w:val="28"/>
          <w:szCs w:val="28"/>
        </w:rPr>
      </w:pPr>
      <w:r>
        <w:rPr>
          <w:b/>
          <w:sz w:val="28"/>
          <w:szCs w:val="28"/>
        </w:rPr>
        <w:t xml:space="preserve">Drita:  </w:t>
      </w:r>
      <w:r>
        <w:rPr>
          <w:sz w:val="28"/>
          <w:szCs w:val="28"/>
        </w:rPr>
        <w:t xml:space="preserve">Oh my, it doesn’t.  Title 31 does not contain a similar tolling of the limitations period.  </w:t>
      </w:r>
      <w:r w:rsidR="009B0581" w:rsidRPr="00063610">
        <w:rPr>
          <w:sz w:val="28"/>
          <w:szCs w:val="28"/>
        </w:rPr>
        <w:t>Looks like we don't have the optio</w:t>
      </w:r>
      <w:r>
        <w:rPr>
          <w:sz w:val="28"/>
          <w:szCs w:val="28"/>
        </w:rPr>
        <w:t xml:space="preserve">n to bring a civil action here but we’ll have to rely on offsets.  </w:t>
      </w:r>
    </w:p>
    <w:p w:rsidR="001927CA" w:rsidRDefault="001927CA" w:rsidP="00063610">
      <w:pPr>
        <w:pStyle w:val="NormalWeb"/>
        <w:spacing w:line="360" w:lineRule="auto"/>
        <w:jc w:val="both"/>
        <w:rPr>
          <w:sz w:val="28"/>
          <w:szCs w:val="28"/>
        </w:rPr>
      </w:pPr>
      <w:r>
        <w:rPr>
          <w:b/>
          <w:sz w:val="28"/>
          <w:szCs w:val="28"/>
        </w:rPr>
        <w:t xml:space="preserve">Charles:  </w:t>
      </w:r>
      <w:r>
        <w:rPr>
          <w:sz w:val="28"/>
          <w:szCs w:val="28"/>
        </w:rPr>
        <w:t xml:space="preserve">May he </w:t>
      </w:r>
      <w:proofErr w:type="gramStart"/>
      <w:r w:rsidR="00BF2441">
        <w:rPr>
          <w:sz w:val="28"/>
          <w:szCs w:val="28"/>
        </w:rPr>
        <w:t>live</w:t>
      </w:r>
      <w:proofErr w:type="gramEnd"/>
      <w:r w:rsidR="00BF2441">
        <w:rPr>
          <w:sz w:val="28"/>
          <w:szCs w:val="28"/>
        </w:rPr>
        <w:t xml:space="preserve"> long and prosper.  </w:t>
      </w:r>
    </w:p>
    <w:p w:rsidR="00BF2441" w:rsidRDefault="00BF2441" w:rsidP="00063610">
      <w:pPr>
        <w:pStyle w:val="NormalWeb"/>
        <w:spacing w:line="360" w:lineRule="auto"/>
        <w:jc w:val="both"/>
        <w:rPr>
          <w:sz w:val="28"/>
          <w:szCs w:val="28"/>
        </w:rPr>
      </w:pPr>
      <w:r>
        <w:rPr>
          <w:b/>
          <w:sz w:val="28"/>
          <w:szCs w:val="28"/>
        </w:rPr>
        <w:t xml:space="preserve">Drita:  </w:t>
      </w:r>
      <w:r>
        <w:rPr>
          <w:sz w:val="28"/>
          <w:szCs w:val="28"/>
        </w:rPr>
        <w:t xml:space="preserve">And continue to overpay his taxes.  </w:t>
      </w:r>
    </w:p>
    <w:p w:rsidR="00BF2441" w:rsidRDefault="00BF2441" w:rsidP="00063610">
      <w:pPr>
        <w:pStyle w:val="NormalWeb"/>
        <w:spacing w:line="360" w:lineRule="auto"/>
        <w:jc w:val="both"/>
        <w:rPr>
          <w:sz w:val="28"/>
          <w:szCs w:val="28"/>
        </w:rPr>
      </w:pPr>
      <w:r>
        <w:rPr>
          <w:b/>
          <w:sz w:val="28"/>
          <w:szCs w:val="28"/>
        </w:rPr>
        <w:lastRenderedPageBreak/>
        <w:t xml:space="preserve">Starling:  </w:t>
      </w:r>
      <w:r>
        <w:rPr>
          <w:sz w:val="28"/>
          <w:szCs w:val="28"/>
        </w:rPr>
        <w:t xml:space="preserve">The </w:t>
      </w:r>
      <w:r w:rsidR="009B0581" w:rsidRPr="00063610">
        <w:rPr>
          <w:sz w:val="28"/>
          <w:szCs w:val="28"/>
        </w:rPr>
        <w:t xml:space="preserve">last one is </w:t>
      </w:r>
      <w:r>
        <w:rPr>
          <w:sz w:val="28"/>
          <w:szCs w:val="28"/>
        </w:rPr>
        <w:t xml:space="preserve">has a </w:t>
      </w:r>
      <w:r w:rsidR="009B0581" w:rsidRPr="00063610">
        <w:rPr>
          <w:sz w:val="28"/>
          <w:szCs w:val="28"/>
        </w:rPr>
        <w:t>$</w:t>
      </w:r>
      <w:r>
        <w:rPr>
          <w:sz w:val="28"/>
          <w:szCs w:val="28"/>
        </w:rPr>
        <w:t>1,0</w:t>
      </w:r>
      <w:r w:rsidR="009B0581" w:rsidRPr="00063610">
        <w:rPr>
          <w:sz w:val="28"/>
          <w:szCs w:val="28"/>
        </w:rPr>
        <w:t>00,</w:t>
      </w:r>
      <w:r>
        <w:rPr>
          <w:sz w:val="28"/>
          <w:szCs w:val="28"/>
        </w:rPr>
        <w:t xml:space="preserve">000 willfulness penalty involving an assessment for multiple years and it involves a high profile taxpayer living in California.  We’ve just referred it to Treasury for collection since it </w:t>
      </w:r>
      <w:r w:rsidR="009B0581" w:rsidRPr="00063610">
        <w:rPr>
          <w:sz w:val="28"/>
          <w:szCs w:val="28"/>
        </w:rPr>
        <w:t xml:space="preserve">was only </w:t>
      </w:r>
      <w:r>
        <w:rPr>
          <w:sz w:val="28"/>
          <w:szCs w:val="28"/>
        </w:rPr>
        <w:t xml:space="preserve">recently </w:t>
      </w:r>
      <w:r w:rsidR="009B0581" w:rsidRPr="00063610">
        <w:rPr>
          <w:sz w:val="28"/>
          <w:szCs w:val="28"/>
        </w:rPr>
        <w:t>assessed</w:t>
      </w:r>
      <w:r>
        <w:rPr>
          <w:sz w:val="28"/>
          <w:szCs w:val="28"/>
        </w:rPr>
        <w:t xml:space="preserve">.  He has already told us that he intends to contest the penalty.  We still have 18 months on the collection statute, but we wanted to let you know that a big one was in the pipeline.  </w:t>
      </w:r>
    </w:p>
    <w:p w:rsidR="009B0581" w:rsidRPr="00063610" w:rsidRDefault="009B0581" w:rsidP="00063610">
      <w:pPr>
        <w:pStyle w:val="NormalWeb"/>
        <w:spacing w:line="360" w:lineRule="auto"/>
        <w:jc w:val="both"/>
        <w:rPr>
          <w:sz w:val="28"/>
          <w:szCs w:val="28"/>
        </w:rPr>
      </w:pPr>
      <w:r w:rsidRPr="00BF2441">
        <w:rPr>
          <w:b/>
          <w:sz w:val="28"/>
          <w:szCs w:val="28"/>
        </w:rPr>
        <w:t>Charles:</w:t>
      </w:r>
      <w:r w:rsidRPr="00063610">
        <w:rPr>
          <w:sz w:val="28"/>
          <w:szCs w:val="28"/>
        </w:rPr>
        <w:t xml:space="preserve"> </w:t>
      </w:r>
      <w:r w:rsidR="00BF2441">
        <w:rPr>
          <w:sz w:val="28"/>
          <w:szCs w:val="28"/>
        </w:rPr>
        <w:t xml:space="preserve"> Well, you should </w:t>
      </w:r>
      <w:r w:rsidRPr="00063610">
        <w:rPr>
          <w:sz w:val="28"/>
          <w:szCs w:val="28"/>
        </w:rPr>
        <w:t xml:space="preserve">send us this one as soon as possible. </w:t>
      </w:r>
      <w:r w:rsidR="00BF2441">
        <w:rPr>
          <w:sz w:val="28"/>
          <w:szCs w:val="28"/>
        </w:rPr>
        <w:t xml:space="preserve">We need more powerful collection tools.  Even though the Title 31 regulations call for an agency to transfer the matter to Treasury for collection if the accountholder has not made a voluntary payment, there is no requirement to do that if the case is instead referred to Justice.  Since we are probably dealing with some old years, we probably also need to get moving on this sooner rather than later.  </w:t>
      </w:r>
    </w:p>
    <w:p w:rsidR="009B0581" w:rsidRPr="00063610" w:rsidRDefault="009B0581" w:rsidP="00063610">
      <w:pPr>
        <w:pStyle w:val="NormalWeb"/>
        <w:spacing w:line="360" w:lineRule="auto"/>
        <w:jc w:val="both"/>
        <w:rPr>
          <w:sz w:val="28"/>
          <w:szCs w:val="28"/>
        </w:rPr>
      </w:pPr>
      <w:r w:rsidRPr="00BF2441">
        <w:rPr>
          <w:b/>
          <w:sz w:val="28"/>
          <w:szCs w:val="28"/>
        </w:rPr>
        <w:t>Drita:</w:t>
      </w:r>
      <w:r w:rsidR="00BF2441">
        <w:rPr>
          <w:sz w:val="28"/>
          <w:szCs w:val="28"/>
        </w:rPr>
        <w:t xml:space="preserve">  </w:t>
      </w:r>
      <w:r w:rsidRPr="00063610">
        <w:rPr>
          <w:sz w:val="28"/>
          <w:szCs w:val="28"/>
        </w:rPr>
        <w:t xml:space="preserve">Thanks for your </w:t>
      </w:r>
      <w:proofErr w:type="gramStart"/>
      <w:r w:rsidRPr="00063610">
        <w:rPr>
          <w:sz w:val="28"/>
          <w:szCs w:val="28"/>
        </w:rPr>
        <w:t>help,</w:t>
      </w:r>
      <w:proofErr w:type="gramEnd"/>
      <w:r w:rsidRPr="00063610">
        <w:rPr>
          <w:sz w:val="28"/>
          <w:szCs w:val="28"/>
        </w:rPr>
        <w:t xml:space="preserve"> we will get that one to y</w:t>
      </w:r>
      <w:r w:rsidR="00BF2441">
        <w:rPr>
          <w:sz w:val="28"/>
          <w:szCs w:val="28"/>
        </w:rPr>
        <w:t>ou right away.</w:t>
      </w:r>
    </w:p>
    <w:p w:rsidR="002A4174" w:rsidRPr="00063610" w:rsidRDefault="002A4174" w:rsidP="00063610">
      <w:pPr>
        <w:pStyle w:val="TaxBodyText"/>
        <w:spacing w:line="360" w:lineRule="auto"/>
        <w:jc w:val="both"/>
        <w:rPr>
          <w:sz w:val="28"/>
          <w:szCs w:val="28"/>
        </w:rPr>
      </w:pPr>
    </w:p>
    <w:sectPr w:rsidR="002A4174" w:rsidRPr="00063610" w:rsidSect="00063610">
      <w:headerReference w:type="even" r:id="rId9"/>
      <w:headerReference w:type="default" r:id="rId10"/>
      <w:footerReference w:type="even" r:id="rId11"/>
      <w:footerReference w:type="default" r:id="rId12"/>
      <w:headerReference w:type="first" r:id="rId13"/>
      <w:footerReference w:type="first" r:id="rId14"/>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81" w:rsidRDefault="009B0581">
      <w:r>
        <w:separator/>
      </w:r>
    </w:p>
  </w:endnote>
  <w:endnote w:type="continuationSeparator" w:id="0">
    <w:p w:rsidR="009B0581" w:rsidRDefault="009B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81" w:rsidRDefault="009B0581">
    <w:pPr>
      <w:pStyle w:val="Footer"/>
    </w:pPr>
  </w:p>
  <w:p w:rsidR="009B0581" w:rsidRPr="009B0581" w:rsidRDefault="009B0581" w:rsidP="009B0581">
    <w:pPr>
      <w:pStyle w:val="Footer"/>
      <w:jc w:val="right"/>
      <w:rPr>
        <w:rFonts w:cs="Times New Roman"/>
        <w:sz w:val="14"/>
      </w:rPr>
    </w:pPr>
    <w:r w:rsidRPr="009B0581">
      <w:rPr>
        <w:rFonts w:cs="Times New Roman"/>
        <w:sz w:val="14"/>
      </w:rPr>
      <w:fldChar w:fldCharType="begin"/>
    </w:r>
    <w:r w:rsidRPr="009B0581">
      <w:rPr>
        <w:rFonts w:cs="Times New Roman"/>
        <w:sz w:val="14"/>
      </w:rPr>
      <w:instrText xml:space="preserve"> DOCPROPERTY  YCFooter \* MERGEFORMAT </w:instrText>
    </w:r>
    <w:r w:rsidRPr="009B0581">
      <w:rPr>
        <w:rFonts w:cs="Times New Roman"/>
        <w:sz w:val="14"/>
      </w:rPr>
      <w:fldChar w:fldCharType="separate"/>
    </w:r>
    <w:r w:rsidRPr="009B0581">
      <w:rPr>
        <w:rFonts w:cs="Times New Roman"/>
        <w:sz w:val="14"/>
      </w:rPr>
      <w:t>12617746.1</w:t>
    </w:r>
    <w:r w:rsidRPr="009B0581">
      <w:rPr>
        <w:rFonts w:cs="Times New Roman"/>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7176"/>
      <w:docPartObj>
        <w:docPartGallery w:val="Page Numbers (Bottom of Page)"/>
        <w:docPartUnique/>
      </w:docPartObj>
    </w:sdtPr>
    <w:sdtEndPr/>
    <w:sdtContent>
      <w:sdt>
        <w:sdtPr>
          <w:id w:val="-1669238322"/>
          <w:docPartObj>
            <w:docPartGallery w:val="Page Numbers (Top of Page)"/>
            <w:docPartUnique/>
          </w:docPartObj>
        </w:sdtPr>
        <w:sdtEndPr/>
        <w:sdtContent>
          <w:p w:rsidR="0003178B" w:rsidRDefault="0003178B">
            <w:pPr>
              <w:pStyle w:val="Footer"/>
              <w:jc w:val="center"/>
            </w:pPr>
            <w:r>
              <w:t xml:space="preserve">Page </w:t>
            </w:r>
            <w:r>
              <w:rPr>
                <w:b/>
                <w:bCs/>
              </w:rPr>
              <w:fldChar w:fldCharType="begin"/>
            </w:r>
            <w:r>
              <w:rPr>
                <w:b/>
                <w:bCs/>
              </w:rPr>
              <w:instrText xml:space="preserve"> PAGE </w:instrText>
            </w:r>
            <w:r>
              <w:rPr>
                <w:b/>
                <w:bCs/>
              </w:rPr>
              <w:fldChar w:fldCharType="separate"/>
            </w:r>
            <w:r w:rsidR="00AB755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B7550">
              <w:rPr>
                <w:b/>
                <w:bCs/>
                <w:noProof/>
              </w:rPr>
              <w:t>6</w:t>
            </w:r>
            <w:r>
              <w:rPr>
                <w:b/>
                <w:bCs/>
              </w:rPr>
              <w:fldChar w:fldCharType="end"/>
            </w:r>
          </w:p>
        </w:sdtContent>
      </w:sdt>
    </w:sdtContent>
  </w:sdt>
  <w:p w:rsidR="0003178B" w:rsidRDefault="0003178B" w:rsidP="009B0581">
    <w:pPr>
      <w:pStyle w:val="Footer"/>
      <w:jc w:val="right"/>
      <w:rPr>
        <w:rFonts w:cs="Times New Roman"/>
        <w:sz w:val="14"/>
      </w:rPr>
    </w:pPr>
  </w:p>
  <w:p w:rsidR="009B0581" w:rsidRPr="0003178B" w:rsidRDefault="0003178B" w:rsidP="0003178B">
    <w:pPr>
      <w:pStyle w:val="Footer"/>
      <w:jc w:val="right"/>
      <w:rPr>
        <w:rFonts w:cs="Times New Roman"/>
        <w:sz w:val="14"/>
      </w:rPr>
    </w:pPr>
    <w:r w:rsidRPr="0003178B">
      <w:rPr>
        <w:rFonts w:cs="Times New Roman"/>
        <w:sz w:val="14"/>
      </w:rPr>
      <w:fldChar w:fldCharType="begin"/>
    </w:r>
    <w:r w:rsidRPr="0003178B">
      <w:rPr>
        <w:rFonts w:cs="Times New Roman"/>
        <w:sz w:val="14"/>
      </w:rPr>
      <w:instrText xml:space="preserve"> DOCPROPERTY  YCFooter \* MERGEFORMAT </w:instrText>
    </w:r>
    <w:r w:rsidRPr="0003178B">
      <w:rPr>
        <w:rFonts w:cs="Times New Roman"/>
        <w:sz w:val="14"/>
      </w:rPr>
      <w:fldChar w:fldCharType="separate"/>
    </w:r>
    <w:r w:rsidRPr="0003178B">
      <w:rPr>
        <w:rFonts w:cs="Times New Roman"/>
        <w:sz w:val="14"/>
      </w:rPr>
      <w:t>12617746.1</w:t>
    </w:r>
    <w:r w:rsidRPr="0003178B">
      <w:rPr>
        <w:rFonts w:cs="Times New Roman"/>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B" w:rsidRDefault="0003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81" w:rsidRDefault="009B0581">
      <w:r>
        <w:separator/>
      </w:r>
    </w:p>
  </w:footnote>
  <w:footnote w:type="continuationSeparator" w:id="0">
    <w:p w:rsidR="009B0581" w:rsidRDefault="009B0581">
      <w:r>
        <w:continuationSeparator/>
      </w:r>
    </w:p>
    <w:p w:rsidR="009B0581" w:rsidRDefault="009B0581">
      <w:pPr>
        <w:spacing w:after="60"/>
        <w:rPr>
          <w:sz w:val="20"/>
          <w:szCs w:val="20"/>
        </w:rPr>
      </w:pPr>
      <w:r>
        <w:rPr>
          <w:sz w:val="20"/>
          <w:szCs w:val="20"/>
        </w:rPr>
        <w:t xml:space="preserve">(… </w:t>
      </w:r>
      <w:proofErr w:type="gramStart"/>
      <w:r>
        <w:rPr>
          <w:sz w:val="20"/>
          <w:szCs w:val="20"/>
        </w:rPr>
        <w:t>continued</w:t>
      </w:r>
      <w:proofErr w:type="gramEnd"/>
      <w:r>
        <w:rPr>
          <w:sz w:val="20"/>
          <w:szCs w:val="20"/>
        </w:rPr>
        <w:t>)</w:t>
      </w:r>
    </w:p>
  </w:footnote>
  <w:footnote w:type="continuationNotice" w:id="1">
    <w:p w:rsidR="009B0581" w:rsidRDefault="009B0581">
      <w:pPr>
        <w:spacing w:before="60"/>
        <w:rPr>
          <w:sz w:val="20"/>
        </w:rPr>
      </w:pPr>
      <w:r>
        <w:rPr>
          <w:sz w:val="20"/>
        </w:rPr>
        <w:t>(</w:t>
      </w:r>
      <w:proofErr w:type="gramStart"/>
      <w:r>
        <w:rPr>
          <w:sz w:val="20"/>
        </w:rPr>
        <w:t>continued</w:t>
      </w:r>
      <w:proofErr w:type="gramEnd"/>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B" w:rsidRDefault="00031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B" w:rsidRDefault="00031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B" w:rsidRDefault="0003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87772"/>
    <w:lvl w:ilvl="0">
      <w:start w:val="1"/>
      <w:numFmt w:val="decimal"/>
      <w:lvlText w:val="%1."/>
      <w:lvlJc w:val="left"/>
      <w:pPr>
        <w:tabs>
          <w:tab w:val="num" w:pos="1800"/>
        </w:tabs>
        <w:ind w:left="1800" w:hanging="360"/>
      </w:pPr>
    </w:lvl>
  </w:abstractNum>
  <w:abstractNum w:abstractNumId="1">
    <w:nsid w:val="FFFFFF7D"/>
    <w:multiLevelType w:val="singleLevel"/>
    <w:tmpl w:val="79F2D8F6"/>
    <w:lvl w:ilvl="0">
      <w:start w:val="1"/>
      <w:numFmt w:val="decimal"/>
      <w:lvlText w:val="%1."/>
      <w:lvlJc w:val="left"/>
      <w:pPr>
        <w:tabs>
          <w:tab w:val="num" w:pos="1440"/>
        </w:tabs>
        <w:ind w:left="1440" w:hanging="360"/>
      </w:pPr>
    </w:lvl>
  </w:abstractNum>
  <w:abstractNum w:abstractNumId="2">
    <w:nsid w:val="FFFFFF7E"/>
    <w:multiLevelType w:val="singleLevel"/>
    <w:tmpl w:val="008C51A0"/>
    <w:lvl w:ilvl="0">
      <w:start w:val="1"/>
      <w:numFmt w:val="decimal"/>
      <w:lvlText w:val="%1."/>
      <w:lvlJc w:val="left"/>
      <w:pPr>
        <w:tabs>
          <w:tab w:val="num" w:pos="1080"/>
        </w:tabs>
        <w:ind w:left="1080" w:hanging="360"/>
      </w:pPr>
    </w:lvl>
  </w:abstractNum>
  <w:abstractNum w:abstractNumId="3">
    <w:nsid w:val="FFFFFF7F"/>
    <w:multiLevelType w:val="singleLevel"/>
    <w:tmpl w:val="C286FFDC"/>
    <w:lvl w:ilvl="0">
      <w:start w:val="1"/>
      <w:numFmt w:val="decimal"/>
      <w:lvlText w:val="%1."/>
      <w:lvlJc w:val="left"/>
      <w:pPr>
        <w:tabs>
          <w:tab w:val="num" w:pos="720"/>
        </w:tabs>
        <w:ind w:left="720" w:hanging="360"/>
      </w:pPr>
    </w:lvl>
  </w:abstractNum>
  <w:abstractNum w:abstractNumId="4">
    <w:nsid w:val="FFFFFF80"/>
    <w:multiLevelType w:val="singleLevel"/>
    <w:tmpl w:val="418E32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2A3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1C5B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2C0C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0CE996"/>
    <w:lvl w:ilvl="0">
      <w:start w:val="1"/>
      <w:numFmt w:val="decimal"/>
      <w:lvlText w:val="%1."/>
      <w:lvlJc w:val="left"/>
      <w:pPr>
        <w:tabs>
          <w:tab w:val="num" w:pos="360"/>
        </w:tabs>
        <w:ind w:left="360" w:hanging="360"/>
      </w:pPr>
    </w:lvl>
  </w:abstractNum>
  <w:abstractNum w:abstractNumId="9">
    <w:nsid w:val="FFFFFF89"/>
    <w:multiLevelType w:val="singleLevel"/>
    <w:tmpl w:val="C846E1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812A93"/>
    <w:multiLevelType w:val="multilevel"/>
    <w:tmpl w:val="889EBB54"/>
    <w:lvl w:ilvl="0">
      <w:start w:val="1"/>
      <w:numFmt w:val="upperRoman"/>
      <w:pStyle w:val="TaxNumberingTextLevel1"/>
      <w:lvlText w:val="%1."/>
      <w:lvlJc w:val="left"/>
      <w:pPr>
        <w:ind w:left="0" w:firstLine="0"/>
      </w:pPr>
      <w:rPr>
        <w:rFonts w:hint="default"/>
      </w:rPr>
    </w:lvl>
    <w:lvl w:ilvl="1">
      <w:start w:val="1"/>
      <w:numFmt w:val="upperLetter"/>
      <w:pStyle w:val="TaxNumberingTextLevel2"/>
      <w:lvlText w:val="%2."/>
      <w:lvlJc w:val="left"/>
      <w:pPr>
        <w:ind w:left="720" w:firstLine="0"/>
      </w:pPr>
      <w:rPr>
        <w:rFonts w:hint="default"/>
      </w:rPr>
    </w:lvl>
    <w:lvl w:ilvl="2">
      <w:start w:val="1"/>
      <w:numFmt w:val="decimal"/>
      <w:pStyle w:val="TaxNumberingTextLevel3"/>
      <w:lvlText w:val="%3."/>
      <w:lvlJc w:val="left"/>
      <w:pPr>
        <w:ind w:left="1440" w:firstLine="0"/>
      </w:pPr>
      <w:rPr>
        <w:rFonts w:hint="default"/>
      </w:rPr>
    </w:lvl>
    <w:lvl w:ilvl="3">
      <w:start w:val="1"/>
      <w:numFmt w:val="lowerLetter"/>
      <w:pStyle w:val="TaxNumberingTextLevel4"/>
      <w:lvlText w:val="%4."/>
      <w:lvlJc w:val="left"/>
      <w:pPr>
        <w:ind w:left="2160" w:firstLine="0"/>
      </w:pPr>
      <w:rPr>
        <w:rFonts w:hint="default"/>
      </w:rPr>
    </w:lvl>
    <w:lvl w:ilvl="4">
      <w:start w:val="1"/>
      <w:numFmt w:val="lowerRoman"/>
      <w:pStyle w:val="TaxNumberingTextLevel5"/>
      <w:lvlText w:val="%5."/>
      <w:lvlJc w:val="left"/>
      <w:pPr>
        <w:ind w:left="2880" w:firstLine="0"/>
      </w:pPr>
      <w:rPr>
        <w:rFonts w:hint="default"/>
      </w:rPr>
    </w:lvl>
    <w:lvl w:ilvl="5">
      <w:start w:val="1"/>
      <w:numFmt w:val="lowerLetter"/>
      <w:pStyle w:val="TaxNumberingTextLevel6"/>
      <w:lvlText w:val="(%6)"/>
      <w:lvlJc w:val="left"/>
      <w:pPr>
        <w:ind w:left="3600" w:firstLine="0"/>
      </w:pPr>
      <w:rPr>
        <w:rFonts w:hint="default"/>
      </w:rPr>
    </w:lvl>
    <w:lvl w:ilvl="6">
      <w:start w:val="1"/>
      <w:numFmt w:val="decimal"/>
      <w:pStyle w:val="TaxNumberingTextLevel7"/>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F102BB1"/>
    <w:multiLevelType w:val="hybridMultilevel"/>
    <w:tmpl w:val="9B4AFB36"/>
    <w:lvl w:ilvl="0" w:tplc="1310C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11F7A"/>
    <w:multiLevelType w:val="multilevel"/>
    <w:tmpl w:val="06C2955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4838514A"/>
    <w:multiLevelType w:val="hybridMultilevel"/>
    <w:tmpl w:val="8A928C92"/>
    <w:lvl w:ilvl="0" w:tplc="312CC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20AC6"/>
    <w:multiLevelType w:val="hybridMultilevel"/>
    <w:tmpl w:val="16C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7AF688B-F007-490E-9566-889924236F51}"/>
  </w:docVars>
  <w:rsids>
    <w:rsidRoot w:val="009B0581"/>
    <w:rsid w:val="0001108A"/>
    <w:rsid w:val="0003178B"/>
    <w:rsid w:val="00063610"/>
    <w:rsid w:val="0008115F"/>
    <w:rsid w:val="00106CF0"/>
    <w:rsid w:val="00174955"/>
    <w:rsid w:val="001927CA"/>
    <w:rsid w:val="00205C78"/>
    <w:rsid w:val="002139D0"/>
    <w:rsid w:val="002A4174"/>
    <w:rsid w:val="002F66C4"/>
    <w:rsid w:val="003E5656"/>
    <w:rsid w:val="004160F4"/>
    <w:rsid w:val="004F4101"/>
    <w:rsid w:val="00556C65"/>
    <w:rsid w:val="00561717"/>
    <w:rsid w:val="0059546E"/>
    <w:rsid w:val="005F0BD8"/>
    <w:rsid w:val="00634CEA"/>
    <w:rsid w:val="00891F33"/>
    <w:rsid w:val="00983687"/>
    <w:rsid w:val="009B0581"/>
    <w:rsid w:val="009E0B12"/>
    <w:rsid w:val="00A14230"/>
    <w:rsid w:val="00A626CB"/>
    <w:rsid w:val="00AB7550"/>
    <w:rsid w:val="00B73504"/>
    <w:rsid w:val="00BF2441"/>
    <w:rsid w:val="00BF7BC2"/>
    <w:rsid w:val="00D16F66"/>
    <w:rsid w:val="00F858EE"/>
    <w:rsid w:val="00FA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First Indent" w:unhideWhenUsed="0"/>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E0B12"/>
  </w:style>
  <w:style w:type="paragraph" w:styleId="Heading1">
    <w:name w:val="heading 1"/>
    <w:basedOn w:val="Normal"/>
    <w:next w:val="Normal"/>
    <w:link w:val="Heading1Char"/>
    <w:uiPriority w:val="9"/>
    <w:qFormat/>
    <w:pPr>
      <w:keepNext/>
      <w:keepLines/>
      <w:outlineLvl w:val="0"/>
    </w:pPr>
    <w:rPr>
      <w:rFonts w:eastAsiaTheme="majorEastAsia" w:cstheme="majorBidi"/>
      <w:bCs/>
      <w:szCs w:val="28"/>
    </w:rPr>
  </w:style>
  <w:style w:type="paragraph" w:styleId="Heading2">
    <w:name w:val="heading 2"/>
    <w:basedOn w:val="Normal"/>
    <w:next w:val="Normal"/>
    <w:link w:val="Heading2Char"/>
    <w:uiPriority w:val="9"/>
    <w:qFormat/>
    <w:pPr>
      <w:keepNext/>
      <w:keepLines/>
      <w:outlineLvl w:val="1"/>
    </w:pPr>
    <w:rPr>
      <w:rFonts w:eastAsiaTheme="majorEastAsia" w:cstheme="majorBidi"/>
      <w:bCs/>
      <w:szCs w:val="26"/>
    </w:rPr>
  </w:style>
  <w:style w:type="paragraph" w:styleId="Heading3">
    <w:name w:val="heading 3"/>
    <w:basedOn w:val="Normal"/>
    <w:next w:val="Normal"/>
    <w:link w:val="Heading3Char"/>
    <w:uiPriority w:val="9"/>
    <w:semiHidden/>
    <w:pPr>
      <w:keepNext/>
      <w:keepLines/>
      <w:outlineLvl w:val="2"/>
    </w:pPr>
    <w:rPr>
      <w:rFonts w:eastAsiaTheme="majorEastAsia" w:cstheme="majorBidi"/>
      <w:bCs/>
    </w:rPr>
  </w:style>
  <w:style w:type="paragraph" w:styleId="Heading4">
    <w:name w:val="heading 4"/>
    <w:basedOn w:val="Normal"/>
    <w:next w:val="Normal"/>
    <w:link w:val="Heading4Char"/>
    <w:uiPriority w:val="9"/>
    <w:semiHidden/>
    <w:pPr>
      <w:keepNext/>
      <w:keepLines/>
      <w:outlineLvl w:val="3"/>
    </w:pPr>
    <w:rPr>
      <w:rFonts w:eastAsiaTheme="majorEastAsia" w:cstheme="majorBidi"/>
      <w:bCs/>
      <w:iCs/>
    </w:rPr>
  </w:style>
  <w:style w:type="paragraph" w:styleId="Heading5">
    <w:name w:val="heading 5"/>
    <w:basedOn w:val="Normal"/>
    <w:next w:val="Normal"/>
    <w:link w:val="Heading5Char"/>
    <w:uiPriority w:val="9"/>
    <w:semiHidden/>
    <w:pPr>
      <w:keepNext/>
      <w:keepLines/>
      <w:outlineLvl w:val="4"/>
    </w:pPr>
    <w:rPr>
      <w:rFonts w:eastAsiaTheme="majorEastAsia" w:cstheme="majorBidi"/>
    </w:rPr>
  </w:style>
  <w:style w:type="paragraph" w:styleId="Heading6">
    <w:name w:val="heading 6"/>
    <w:basedOn w:val="Normal"/>
    <w:next w:val="Normal"/>
    <w:link w:val="Heading6Char"/>
    <w:uiPriority w:val="9"/>
    <w:semiHidden/>
    <w:pPr>
      <w:keepNext/>
      <w:keepLines/>
      <w:outlineLvl w:val="5"/>
    </w:pPr>
    <w:rPr>
      <w:rFonts w:eastAsiaTheme="majorEastAsia" w:cstheme="majorBidi"/>
      <w:iCs/>
    </w:rPr>
  </w:style>
  <w:style w:type="paragraph" w:styleId="Heading7">
    <w:name w:val="heading 7"/>
    <w:basedOn w:val="Normal"/>
    <w:next w:val="Normal"/>
    <w:link w:val="Heading7Char"/>
    <w:uiPriority w:val="9"/>
    <w:semiHidden/>
    <w:pPr>
      <w:keepNext/>
      <w:keepLines/>
      <w:outlineLvl w:val="6"/>
    </w:pPr>
    <w:rPr>
      <w:rFonts w:eastAsiaTheme="majorEastAsia" w:cstheme="majorBidi"/>
      <w:iCs/>
    </w:rPr>
  </w:style>
  <w:style w:type="paragraph" w:styleId="Heading8">
    <w:name w:val="heading 8"/>
    <w:basedOn w:val="Normal"/>
    <w:next w:val="Normal"/>
    <w:link w:val="Heading8Char"/>
    <w:uiPriority w:val="9"/>
    <w:semiHidden/>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semiHidden/>
    <w:qFormat/>
    <w:pPr>
      <w:ind w:left="720"/>
      <w:contextualSpacing/>
    </w:pPr>
  </w:style>
  <w:style w:type="paragraph" w:styleId="ListBullet">
    <w:name w:val="List Bullet"/>
    <w:basedOn w:val="Normal"/>
    <w:link w:val="ListBulletChar"/>
    <w:uiPriority w:val="99"/>
    <w:semiHidden/>
    <w:pPr>
      <w:numPr>
        <w:numId w:val="1"/>
      </w:numPr>
      <w:contextualSpacing/>
    </w:p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ListBulletChar">
    <w:name w:val="List Bullet Char"/>
    <w:basedOn w:val="DefaultParagraphFont"/>
    <w:link w:val="ListBullet"/>
    <w:uiPriority w:val="99"/>
    <w:semiHidden/>
    <w:rPr>
      <w:rFonts w:ascii="Times New Roman" w:hAnsi="Times New Roman"/>
      <w:sz w:val="24"/>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character" w:styleId="Strong">
    <w:name w:val="Strong"/>
    <w:basedOn w:val="DefaultParagraphFont"/>
    <w:uiPriority w:val="22"/>
    <w:semiHidden/>
    <w:qFormat/>
    <w:rPr>
      <w:b/>
      <w:bCs/>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NoSpacing">
    <w:name w:val="No Spacing"/>
    <w:uiPriority w:val="1"/>
    <w:qFormat/>
    <w:pPr>
      <w:spacing w:after="0"/>
    </w:pPr>
  </w:style>
  <w:style w:type="character" w:styleId="Emphasis">
    <w:name w:val="Emphasis"/>
    <w:basedOn w:val="DefaultParagraphFont"/>
    <w:uiPriority w:val="20"/>
    <w:semiHidden/>
    <w:qFormat/>
    <w:rPr>
      <w:i/>
      <w:iCs/>
    </w:rPr>
  </w:style>
  <w:style w:type="paragraph" w:customStyle="1" w:styleId="TaxBodyText">
    <w:name w:val="Tax Body Text"/>
    <w:basedOn w:val="Normal"/>
    <w:qFormat/>
    <w:rsid w:val="00BF7BC2"/>
    <w:rPr>
      <w:szCs w:val="22"/>
    </w:rPr>
  </w:style>
  <w:style w:type="paragraph" w:customStyle="1" w:styleId="TaxNumberingTextLevel1">
    <w:name w:val="Tax Numbering Text Level 1"/>
    <w:basedOn w:val="Heading1"/>
    <w:semiHidden/>
    <w:qFormat/>
    <w:rsid w:val="002F66C4"/>
    <w:pPr>
      <w:numPr>
        <w:numId w:val="14"/>
      </w:numPr>
      <w:tabs>
        <w:tab w:val="left" w:pos="0"/>
      </w:tabs>
    </w:pPr>
  </w:style>
  <w:style w:type="paragraph" w:customStyle="1" w:styleId="TaxNumberingTextLevel2">
    <w:name w:val="Tax Numbering Text Level 2"/>
    <w:basedOn w:val="Heading2"/>
    <w:semiHidden/>
    <w:qFormat/>
    <w:rsid w:val="002F66C4"/>
    <w:pPr>
      <w:numPr>
        <w:ilvl w:val="1"/>
        <w:numId w:val="14"/>
      </w:numPr>
      <w:tabs>
        <w:tab w:val="left" w:pos="1152"/>
      </w:tabs>
    </w:pPr>
  </w:style>
  <w:style w:type="paragraph" w:customStyle="1" w:styleId="TaxNumberingTextLevel3">
    <w:name w:val="Tax Numbering Text Level 3"/>
    <w:basedOn w:val="TaxNumberingTextLevel2"/>
    <w:semiHidden/>
    <w:qFormat/>
    <w:rsid w:val="002F66C4"/>
    <w:pPr>
      <w:numPr>
        <w:ilvl w:val="2"/>
      </w:numPr>
      <w:tabs>
        <w:tab w:val="clear" w:pos="1152"/>
        <w:tab w:val="left" w:pos="1627"/>
      </w:tabs>
      <w:ind w:left="1152"/>
    </w:pPr>
    <w:rPr>
      <w:szCs w:val="22"/>
    </w:rPr>
  </w:style>
  <w:style w:type="paragraph" w:customStyle="1" w:styleId="TaxNumberingTextLevel4">
    <w:name w:val="Tax Numbering Text Level 4"/>
    <w:basedOn w:val="TaxNumberingTextLevel2"/>
    <w:semiHidden/>
    <w:qFormat/>
    <w:rsid w:val="002F66C4"/>
    <w:pPr>
      <w:numPr>
        <w:ilvl w:val="3"/>
      </w:numPr>
      <w:tabs>
        <w:tab w:val="clear" w:pos="1152"/>
        <w:tab w:val="left" w:pos="1987"/>
      </w:tabs>
      <w:ind w:left="1627"/>
    </w:pPr>
    <w:rPr>
      <w:rFonts w:cs="Times New Roman"/>
      <w:szCs w:val="22"/>
    </w:rPr>
  </w:style>
  <w:style w:type="paragraph" w:customStyle="1" w:styleId="TaxNumberingTextLevel5">
    <w:name w:val="Tax Numbering Text Level 5"/>
    <w:basedOn w:val="TaxNumberingTextLevel2"/>
    <w:semiHidden/>
    <w:qFormat/>
    <w:rsid w:val="002F66C4"/>
    <w:pPr>
      <w:numPr>
        <w:ilvl w:val="4"/>
      </w:numPr>
      <w:tabs>
        <w:tab w:val="clear" w:pos="1152"/>
        <w:tab w:val="left" w:pos="2347"/>
      </w:tabs>
      <w:ind w:left="1987"/>
    </w:pPr>
    <w:rPr>
      <w:rFonts w:cs="Times New Roman"/>
      <w:szCs w:val="22"/>
    </w:rPr>
  </w:style>
  <w:style w:type="paragraph" w:customStyle="1" w:styleId="TaxNumberingTextLevel6">
    <w:name w:val="Tax Numbering Text Level 6"/>
    <w:basedOn w:val="TaxNumberingTextLevel2"/>
    <w:semiHidden/>
    <w:qFormat/>
    <w:rsid w:val="002F66C4"/>
    <w:pPr>
      <w:numPr>
        <w:ilvl w:val="5"/>
      </w:numPr>
      <w:tabs>
        <w:tab w:val="clear" w:pos="1152"/>
        <w:tab w:val="left" w:pos="2707"/>
      </w:tabs>
      <w:ind w:left="2347"/>
    </w:pPr>
    <w:rPr>
      <w:rFonts w:cs="Times New Roman"/>
      <w:szCs w:val="22"/>
    </w:rPr>
  </w:style>
  <w:style w:type="paragraph" w:customStyle="1" w:styleId="TaxNumberingTextLevel7">
    <w:name w:val="Tax Numbering Text Level 7"/>
    <w:basedOn w:val="TaxNumberingTextLevel2"/>
    <w:semiHidden/>
    <w:qFormat/>
    <w:rsid w:val="002F66C4"/>
    <w:pPr>
      <w:numPr>
        <w:ilvl w:val="6"/>
      </w:numPr>
      <w:tabs>
        <w:tab w:val="clear" w:pos="1152"/>
        <w:tab w:val="left" w:pos="3067"/>
      </w:tabs>
      <w:ind w:left="2707"/>
    </w:pPr>
    <w:rPr>
      <w:rFonts w:cs="Times New Roman"/>
      <w:szCs w:val="22"/>
    </w:rPr>
  </w:style>
  <w:style w:type="table" w:styleId="TableGrid">
    <w:name w:val="Table Grid"/>
    <w:basedOn w:val="TableNormal"/>
    <w:uiPriority w:val="59"/>
    <w:rsid w:val="009E0B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0581"/>
    <w:pPr>
      <w:spacing w:before="100" w:beforeAutospacing="1" w:after="100" w:afterAutospacing="1"/>
    </w:pPr>
    <w:rPr>
      <w:rFonts w:cs="Times New Roman"/>
    </w:rPr>
  </w:style>
  <w:style w:type="paragraph" w:styleId="Header">
    <w:name w:val="header"/>
    <w:basedOn w:val="Normal"/>
    <w:link w:val="HeaderChar"/>
    <w:uiPriority w:val="99"/>
    <w:unhideWhenUsed/>
    <w:rsid w:val="009B0581"/>
    <w:pPr>
      <w:tabs>
        <w:tab w:val="center" w:pos="4680"/>
        <w:tab w:val="right" w:pos="9360"/>
      </w:tabs>
      <w:spacing w:after="0"/>
    </w:pPr>
  </w:style>
  <w:style w:type="character" w:customStyle="1" w:styleId="HeaderChar">
    <w:name w:val="Header Char"/>
    <w:basedOn w:val="DefaultParagraphFont"/>
    <w:link w:val="Header"/>
    <w:uiPriority w:val="99"/>
    <w:rsid w:val="009B0581"/>
  </w:style>
  <w:style w:type="paragraph" w:styleId="Footer">
    <w:name w:val="footer"/>
    <w:basedOn w:val="Normal"/>
    <w:link w:val="FooterChar"/>
    <w:uiPriority w:val="99"/>
    <w:unhideWhenUsed/>
    <w:rsid w:val="009B0581"/>
    <w:pPr>
      <w:tabs>
        <w:tab w:val="center" w:pos="4680"/>
        <w:tab w:val="right" w:pos="9360"/>
      </w:tabs>
      <w:spacing w:after="0"/>
    </w:pPr>
  </w:style>
  <w:style w:type="character" w:customStyle="1" w:styleId="FooterChar">
    <w:name w:val="Footer Char"/>
    <w:basedOn w:val="DefaultParagraphFont"/>
    <w:link w:val="Footer"/>
    <w:uiPriority w:val="99"/>
    <w:rsid w:val="009B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Body Text First Indent" w:unhideWhenUsed="0"/>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E0B12"/>
  </w:style>
  <w:style w:type="paragraph" w:styleId="Heading1">
    <w:name w:val="heading 1"/>
    <w:basedOn w:val="Normal"/>
    <w:next w:val="Normal"/>
    <w:link w:val="Heading1Char"/>
    <w:uiPriority w:val="9"/>
    <w:qFormat/>
    <w:pPr>
      <w:keepNext/>
      <w:keepLines/>
      <w:outlineLvl w:val="0"/>
    </w:pPr>
    <w:rPr>
      <w:rFonts w:eastAsiaTheme="majorEastAsia" w:cstheme="majorBidi"/>
      <w:bCs/>
      <w:szCs w:val="28"/>
    </w:rPr>
  </w:style>
  <w:style w:type="paragraph" w:styleId="Heading2">
    <w:name w:val="heading 2"/>
    <w:basedOn w:val="Normal"/>
    <w:next w:val="Normal"/>
    <w:link w:val="Heading2Char"/>
    <w:uiPriority w:val="9"/>
    <w:qFormat/>
    <w:pPr>
      <w:keepNext/>
      <w:keepLines/>
      <w:outlineLvl w:val="1"/>
    </w:pPr>
    <w:rPr>
      <w:rFonts w:eastAsiaTheme="majorEastAsia" w:cstheme="majorBidi"/>
      <w:bCs/>
      <w:szCs w:val="26"/>
    </w:rPr>
  </w:style>
  <w:style w:type="paragraph" w:styleId="Heading3">
    <w:name w:val="heading 3"/>
    <w:basedOn w:val="Normal"/>
    <w:next w:val="Normal"/>
    <w:link w:val="Heading3Char"/>
    <w:uiPriority w:val="9"/>
    <w:semiHidden/>
    <w:pPr>
      <w:keepNext/>
      <w:keepLines/>
      <w:outlineLvl w:val="2"/>
    </w:pPr>
    <w:rPr>
      <w:rFonts w:eastAsiaTheme="majorEastAsia" w:cstheme="majorBidi"/>
      <w:bCs/>
    </w:rPr>
  </w:style>
  <w:style w:type="paragraph" w:styleId="Heading4">
    <w:name w:val="heading 4"/>
    <w:basedOn w:val="Normal"/>
    <w:next w:val="Normal"/>
    <w:link w:val="Heading4Char"/>
    <w:uiPriority w:val="9"/>
    <w:semiHidden/>
    <w:pPr>
      <w:keepNext/>
      <w:keepLines/>
      <w:outlineLvl w:val="3"/>
    </w:pPr>
    <w:rPr>
      <w:rFonts w:eastAsiaTheme="majorEastAsia" w:cstheme="majorBidi"/>
      <w:bCs/>
      <w:iCs/>
    </w:rPr>
  </w:style>
  <w:style w:type="paragraph" w:styleId="Heading5">
    <w:name w:val="heading 5"/>
    <w:basedOn w:val="Normal"/>
    <w:next w:val="Normal"/>
    <w:link w:val="Heading5Char"/>
    <w:uiPriority w:val="9"/>
    <w:semiHidden/>
    <w:pPr>
      <w:keepNext/>
      <w:keepLines/>
      <w:outlineLvl w:val="4"/>
    </w:pPr>
    <w:rPr>
      <w:rFonts w:eastAsiaTheme="majorEastAsia" w:cstheme="majorBidi"/>
    </w:rPr>
  </w:style>
  <w:style w:type="paragraph" w:styleId="Heading6">
    <w:name w:val="heading 6"/>
    <w:basedOn w:val="Normal"/>
    <w:next w:val="Normal"/>
    <w:link w:val="Heading6Char"/>
    <w:uiPriority w:val="9"/>
    <w:semiHidden/>
    <w:pPr>
      <w:keepNext/>
      <w:keepLines/>
      <w:outlineLvl w:val="5"/>
    </w:pPr>
    <w:rPr>
      <w:rFonts w:eastAsiaTheme="majorEastAsia" w:cstheme="majorBidi"/>
      <w:iCs/>
    </w:rPr>
  </w:style>
  <w:style w:type="paragraph" w:styleId="Heading7">
    <w:name w:val="heading 7"/>
    <w:basedOn w:val="Normal"/>
    <w:next w:val="Normal"/>
    <w:link w:val="Heading7Char"/>
    <w:uiPriority w:val="9"/>
    <w:semiHidden/>
    <w:pPr>
      <w:keepNext/>
      <w:keepLines/>
      <w:outlineLvl w:val="6"/>
    </w:pPr>
    <w:rPr>
      <w:rFonts w:eastAsiaTheme="majorEastAsia" w:cstheme="majorBidi"/>
      <w:iCs/>
    </w:rPr>
  </w:style>
  <w:style w:type="paragraph" w:styleId="Heading8">
    <w:name w:val="heading 8"/>
    <w:basedOn w:val="Normal"/>
    <w:next w:val="Normal"/>
    <w:link w:val="Heading8Char"/>
    <w:uiPriority w:val="9"/>
    <w:semiHidden/>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semiHidden/>
    <w:qFormat/>
    <w:pPr>
      <w:ind w:left="720"/>
      <w:contextualSpacing/>
    </w:pPr>
  </w:style>
  <w:style w:type="paragraph" w:styleId="ListBullet">
    <w:name w:val="List Bullet"/>
    <w:basedOn w:val="Normal"/>
    <w:link w:val="ListBulletChar"/>
    <w:uiPriority w:val="99"/>
    <w:semiHidden/>
    <w:pPr>
      <w:numPr>
        <w:numId w:val="1"/>
      </w:numPr>
      <w:contextualSpacing/>
    </w:p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ListBulletChar">
    <w:name w:val="List Bullet Char"/>
    <w:basedOn w:val="DefaultParagraphFont"/>
    <w:link w:val="ListBullet"/>
    <w:uiPriority w:val="99"/>
    <w:semiHidden/>
    <w:rPr>
      <w:rFonts w:ascii="Times New Roman" w:hAnsi="Times New Roman"/>
      <w:sz w:val="24"/>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character" w:styleId="Strong">
    <w:name w:val="Strong"/>
    <w:basedOn w:val="DefaultParagraphFont"/>
    <w:uiPriority w:val="22"/>
    <w:semiHidden/>
    <w:qFormat/>
    <w:rPr>
      <w:b/>
      <w:bCs/>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NoSpacing">
    <w:name w:val="No Spacing"/>
    <w:uiPriority w:val="1"/>
    <w:qFormat/>
    <w:pPr>
      <w:spacing w:after="0"/>
    </w:pPr>
  </w:style>
  <w:style w:type="character" w:styleId="Emphasis">
    <w:name w:val="Emphasis"/>
    <w:basedOn w:val="DefaultParagraphFont"/>
    <w:uiPriority w:val="20"/>
    <w:semiHidden/>
    <w:qFormat/>
    <w:rPr>
      <w:i/>
      <w:iCs/>
    </w:rPr>
  </w:style>
  <w:style w:type="paragraph" w:customStyle="1" w:styleId="TaxBodyText">
    <w:name w:val="Tax Body Text"/>
    <w:basedOn w:val="Normal"/>
    <w:qFormat/>
    <w:rsid w:val="00BF7BC2"/>
    <w:rPr>
      <w:szCs w:val="22"/>
    </w:rPr>
  </w:style>
  <w:style w:type="paragraph" w:customStyle="1" w:styleId="TaxNumberingTextLevel1">
    <w:name w:val="Tax Numbering Text Level 1"/>
    <w:basedOn w:val="Heading1"/>
    <w:semiHidden/>
    <w:qFormat/>
    <w:rsid w:val="002F66C4"/>
    <w:pPr>
      <w:numPr>
        <w:numId w:val="14"/>
      </w:numPr>
      <w:tabs>
        <w:tab w:val="left" w:pos="0"/>
      </w:tabs>
    </w:pPr>
  </w:style>
  <w:style w:type="paragraph" w:customStyle="1" w:styleId="TaxNumberingTextLevel2">
    <w:name w:val="Tax Numbering Text Level 2"/>
    <w:basedOn w:val="Heading2"/>
    <w:semiHidden/>
    <w:qFormat/>
    <w:rsid w:val="002F66C4"/>
    <w:pPr>
      <w:numPr>
        <w:ilvl w:val="1"/>
        <w:numId w:val="14"/>
      </w:numPr>
      <w:tabs>
        <w:tab w:val="left" w:pos="1152"/>
      </w:tabs>
    </w:pPr>
  </w:style>
  <w:style w:type="paragraph" w:customStyle="1" w:styleId="TaxNumberingTextLevel3">
    <w:name w:val="Tax Numbering Text Level 3"/>
    <w:basedOn w:val="TaxNumberingTextLevel2"/>
    <w:semiHidden/>
    <w:qFormat/>
    <w:rsid w:val="002F66C4"/>
    <w:pPr>
      <w:numPr>
        <w:ilvl w:val="2"/>
      </w:numPr>
      <w:tabs>
        <w:tab w:val="clear" w:pos="1152"/>
        <w:tab w:val="left" w:pos="1627"/>
      </w:tabs>
      <w:ind w:left="1152"/>
    </w:pPr>
    <w:rPr>
      <w:szCs w:val="22"/>
    </w:rPr>
  </w:style>
  <w:style w:type="paragraph" w:customStyle="1" w:styleId="TaxNumberingTextLevel4">
    <w:name w:val="Tax Numbering Text Level 4"/>
    <w:basedOn w:val="TaxNumberingTextLevel2"/>
    <w:semiHidden/>
    <w:qFormat/>
    <w:rsid w:val="002F66C4"/>
    <w:pPr>
      <w:numPr>
        <w:ilvl w:val="3"/>
      </w:numPr>
      <w:tabs>
        <w:tab w:val="clear" w:pos="1152"/>
        <w:tab w:val="left" w:pos="1987"/>
      </w:tabs>
      <w:ind w:left="1627"/>
    </w:pPr>
    <w:rPr>
      <w:rFonts w:cs="Times New Roman"/>
      <w:szCs w:val="22"/>
    </w:rPr>
  </w:style>
  <w:style w:type="paragraph" w:customStyle="1" w:styleId="TaxNumberingTextLevel5">
    <w:name w:val="Tax Numbering Text Level 5"/>
    <w:basedOn w:val="TaxNumberingTextLevel2"/>
    <w:semiHidden/>
    <w:qFormat/>
    <w:rsid w:val="002F66C4"/>
    <w:pPr>
      <w:numPr>
        <w:ilvl w:val="4"/>
      </w:numPr>
      <w:tabs>
        <w:tab w:val="clear" w:pos="1152"/>
        <w:tab w:val="left" w:pos="2347"/>
      </w:tabs>
      <w:ind w:left="1987"/>
    </w:pPr>
    <w:rPr>
      <w:rFonts w:cs="Times New Roman"/>
      <w:szCs w:val="22"/>
    </w:rPr>
  </w:style>
  <w:style w:type="paragraph" w:customStyle="1" w:styleId="TaxNumberingTextLevel6">
    <w:name w:val="Tax Numbering Text Level 6"/>
    <w:basedOn w:val="TaxNumberingTextLevel2"/>
    <w:semiHidden/>
    <w:qFormat/>
    <w:rsid w:val="002F66C4"/>
    <w:pPr>
      <w:numPr>
        <w:ilvl w:val="5"/>
      </w:numPr>
      <w:tabs>
        <w:tab w:val="clear" w:pos="1152"/>
        <w:tab w:val="left" w:pos="2707"/>
      </w:tabs>
      <w:ind w:left="2347"/>
    </w:pPr>
    <w:rPr>
      <w:rFonts w:cs="Times New Roman"/>
      <w:szCs w:val="22"/>
    </w:rPr>
  </w:style>
  <w:style w:type="paragraph" w:customStyle="1" w:styleId="TaxNumberingTextLevel7">
    <w:name w:val="Tax Numbering Text Level 7"/>
    <w:basedOn w:val="TaxNumberingTextLevel2"/>
    <w:semiHidden/>
    <w:qFormat/>
    <w:rsid w:val="002F66C4"/>
    <w:pPr>
      <w:numPr>
        <w:ilvl w:val="6"/>
      </w:numPr>
      <w:tabs>
        <w:tab w:val="clear" w:pos="1152"/>
        <w:tab w:val="left" w:pos="3067"/>
      </w:tabs>
      <w:ind w:left="2707"/>
    </w:pPr>
    <w:rPr>
      <w:rFonts w:cs="Times New Roman"/>
      <w:szCs w:val="22"/>
    </w:rPr>
  </w:style>
  <w:style w:type="table" w:styleId="TableGrid">
    <w:name w:val="Table Grid"/>
    <w:basedOn w:val="TableNormal"/>
    <w:uiPriority w:val="59"/>
    <w:rsid w:val="009E0B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0581"/>
    <w:pPr>
      <w:spacing w:before="100" w:beforeAutospacing="1" w:after="100" w:afterAutospacing="1"/>
    </w:pPr>
    <w:rPr>
      <w:rFonts w:cs="Times New Roman"/>
    </w:rPr>
  </w:style>
  <w:style w:type="paragraph" w:styleId="Header">
    <w:name w:val="header"/>
    <w:basedOn w:val="Normal"/>
    <w:link w:val="HeaderChar"/>
    <w:uiPriority w:val="99"/>
    <w:unhideWhenUsed/>
    <w:rsid w:val="009B0581"/>
    <w:pPr>
      <w:tabs>
        <w:tab w:val="center" w:pos="4680"/>
        <w:tab w:val="right" w:pos="9360"/>
      </w:tabs>
      <w:spacing w:after="0"/>
    </w:pPr>
  </w:style>
  <w:style w:type="character" w:customStyle="1" w:styleId="HeaderChar">
    <w:name w:val="Header Char"/>
    <w:basedOn w:val="DefaultParagraphFont"/>
    <w:link w:val="Header"/>
    <w:uiPriority w:val="99"/>
    <w:rsid w:val="009B0581"/>
  </w:style>
  <w:style w:type="paragraph" w:styleId="Footer">
    <w:name w:val="footer"/>
    <w:basedOn w:val="Normal"/>
    <w:link w:val="FooterChar"/>
    <w:uiPriority w:val="99"/>
    <w:unhideWhenUsed/>
    <w:rsid w:val="009B0581"/>
    <w:pPr>
      <w:tabs>
        <w:tab w:val="center" w:pos="4680"/>
        <w:tab w:val="right" w:pos="9360"/>
      </w:tabs>
      <w:spacing w:after="0"/>
    </w:pPr>
  </w:style>
  <w:style w:type="character" w:customStyle="1" w:styleId="FooterChar">
    <w:name w:val="Footer Char"/>
    <w:basedOn w:val="DefaultParagraphFont"/>
    <w:link w:val="Footer"/>
    <w:uiPriority w:val="99"/>
    <w:rsid w:val="009B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1131">
      <w:bodyDiv w:val="1"/>
      <w:marLeft w:val="0"/>
      <w:marRight w:val="0"/>
      <w:marTop w:val="0"/>
      <w:marBottom w:val="0"/>
      <w:divBdr>
        <w:top w:val="none" w:sz="0" w:space="0" w:color="auto"/>
        <w:left w:val="none" w:sz="0" w:space="0" w:color="auto"/>
        <w:bottom w:val="none" w:sz="0" w:space="0" w:color="auto"/>
        <w:right w:val="none" w:sz="0" w:space="0" w:color="auto"/>
      </w:divBdr>
    </w:div>
    <w:div w:id="1709137360">
      <w:bodyDiv w:val="1"/>
      <w:marLeft w:val="0"/>
      <w:marRight w:val="0"/>
      <w:marTop w:val="0"/>
      <w:marBottom w:val="0"/>
      <w:divBdr>
        <w:top w:val="none" w:sz="0" w:space="0" w:color="auto"/>
        <w:left w:val="none" w:sz="0" w:space="0" w:color="auto"/>
        <w:bottom w:val="none" w:sz="0" w:space="0" w:color="auto"/>
        <w:right w:val="none" w:sz="0" w:space="0" w:color="auto"/>
      </w:divBdr>
    </w:div>
    <w:div w:id="18919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wyer\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63FF-EC33-41F5-9F3E-98132F97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6</Pages>
  <Words>1352</Words>
  <Characters>6226</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Sawyer</dc:creator>
  <cp:lastModifiedBy>Thomas J. Sawyer</cp:lastModifiedBy>
  <cp:revision>2</cp:revision>
  <dcterms:created xsi:type="dcterms:W3CDTF">2015-04-14T15:01:00Z</dcterms:created>
  <dcterms:modified xsi:type="dcterms:W3CDTF">2015-04-14T15:01:00Z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91c75f56-542d-4b1d-93eb-4328ef58f0ea</vt:lpwstr>
  </property>
  <property fmtid="{D5CDD505-2E9C-101B-9397-08002B2CF9AE}" pid="3" name="YCFooter">
    <vt:lpwstr>12617746.1</vt:lpwstr>
  </property>
</Properties>
</file>