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945" w:rsidRPr="00851945" w:rsidRDefault="00851945" w:rsidP="00851945">
      <w:pPr>
        <w:shd w:val="clear" w:color="auto" w:fill="FFFFFF"/>
        <w:spacing w:after="0" w:line="240" w:lineRule="auto"/>
        <w:jc w:val="center"/>
        <w:rPr>
          <w:rFonts w:ascii="Arial" w:eastAsia="Times New Roman" w:hAnsi="Arial" w:cs="Arial"/>
          <w:color w:val="222222"/>
          <w:sz w:val="23"/>
          <w:szCs w:val="23"/>
        </w:rPr>
      </w:pPr>
      <w:r w:rsidRPr="00851945">
        <w:rPr>
          <w:rFonts w:ascii="Arial" w:eastAsia="Times New Roman" w:hAnsi="Arial" w:cs="Arial"/>
          <w:b/>
          <w:bCs/>
          <w:color w:val="222222"/>
          <w:sz w:val="23"/>
          <w:szCs w:val="23"/>
        </w:rPr>
        <w:t>230 P.3d 518 (2010)</w:t>
      </w:r>
    </w:p>
    <w:p w:rsidR="00851945" w:rsidRPr="00851945" w:rsidRDefault="00851945" w:rsidP="00851945">
      <w:pPr>
        <w:shd w:val="clear" w:color="auto" w:fill="FFFFFF"/>
        <w:spacing w:after="0" w:line="240" w:lineRule="auto"/>
        <w:jc w:val="center"/>
        <w:rPr>
          <w:rFonts w:ascii="Arial" w:eastAsia="Times New Roman" w:hAnsi="Arial" w:cs="Arial"/>
          <w:color w:val="222222"/>
          <w:sz w:val="23"/>
          <w:szCs w:val="23"/>
        </w:rPr>
      </w:pPr>
      <w:r w:rsidRPr="00851945">
        <w:rPr>
          <w:rFonts w:ascii="Arial" w:eastAsia="Times New Roman" w:hAnsi="Arial" w:cs="Arial"/>
          <w:b/>
          <w:bCs/>
          <w:color w:val="222222"/>
          <w:sz w:val="23"/>
          <w:szCs w:val="23"/>
        </w:rPr>
        <w:t>348 Or. 159</w:t>
      </w:r>
    </w:p>
    <w:p w:rsidR="00851945" w:rsidRPr="00851945" w:rsidRDefault="00851945" w:rsidP="00851945">
      <w:pPr>
        <w:shd w:val="clear" w:color="auto" w:fill="FFFFFF"/>
        <w:spacing w:before="240" w:after="240" w:line="240" w:lineRule="auto"/>
        <w:jc w:val="center"/>
        <w:outlineLvl w:val="3"/>
        <w:rPr>
          <w:rFonts w:ascii="Arial" w:eastAsia="Times New Roman" w:hAnsi="Arial" w:cs="Arial"/>
          <w:b/>
          <w:bCs/>
          <w:color w:val="222222"/>
          <w:sz w:val="27"/>
          <w:szCs w:val="27"/>
        </w:rPr>
      </w:pPr>
      <w:r w:rsidRPr="00851945">
        <w:rPr>
          <w:rFonts w:ascii="Arial" w:eastAsia="Times New Roman" w:hAnsi="Arial" w:cs="Arial"/>
          <w:b/>
          <w:bCs/>
          <w:color w:val="000000"/>
          <w:sz w:val="27"/>
          <w:szCs w:val="27"/>
          <w:shd w:val="clear" w:color="auto" w:fill="FFFFCC"/>
        </w:rPr>
        <w:t>EMERALD</w:t>
      </w:r>
      <w:r w:rsidRPr="00851945">
        <w:rPr>
          <w:rFonts w:ascii="Arial" w:eastAsia="Times New Roman" w:hAnsi="Arial" w:cs="Arial"/>
          <w:b/>
          <w:bCs/>
          <w:color w:val="222222"/>
          <w:sz w:val="27"/>
          <w:szCs w:val="27"/>
        </w:rPr>
        <w:t xml:space="preserve"> STEEL FABRICATORS, INC., Petitioner on Review</w:t>
      </w:r>
      <w:proofErr w:type="gramStart"/>
      <w:r w:rsidRPr="00851945">
        <w:rPr>
          <w:rFonts w:ascii="Arial" w:eastAsia="Times New Roman" w:hAnsi="Arial" w:cs="Arial"/>
          <w:b/>
          <w:bCs/>
          <w:color w:val="222222"/>
          <w:sz w:val="27"/>
          <w:szCs w:val="27"/>
        </w:rPr>
        <w:t>,</w:t>
      </w:r>
      <w:proofErr w:type="gramEnd"/>
      <w:r w:rsidRPr="00851945">
        <w:rPr>
          <w:rFonts w:ascii="Arial" w:eastAsia="Times New Roman" w:hAnsi="Arial" w:cs="Arial"/>
          <w:b/>
          <w:bCs/>
          <w:color w:val="222222"/>
          <w:sz w:val="27"/>
          <w:szCs w:val="27"/>
        </w:rPr>
        <w:br/>
        <w:t>v.</w:t>
      </w:r>
      <w:r w:rsidRPr="00851945">
        <w:rPr>
          <w:rFonts w:ascii="Arial" w:eastAsia="Times New Roman" w:hAnsi="Arial" w:cs="Arial"/>
          <w:b/>
          <w:bCs/>
          <w:color w:val="222222"/>
          <w:sz w:val="27"/>
          <w:szCs w:val="27"/>
        </w:rPr>
        <w:br/>
        <w:t>BUREAU OF LABOR AND INDUSTRIES, Respondent on Review.</w:t>
      </w:r>
    </w:p>
    <w:p w:rsidR="00851945" w:rsidRPr="00851945" w:rsidRDefault="00851945" w:rsidP="00851945">
      <w:pPr>
        <w:shd w:val="clear" w:color="auto" w:fill="FFFFFF"/>
        <w:spacing w:after="0" w:line="240" w:lineRule="auto"/>
        <w:jc w:val="center"/>
        <w:rPr>
          <w:rFonts w:ascii="Arial" w:eastAsia="Times New Roman" w:hAnsi="Arial" w:cs="Arial"/>
          <w:color w:val="222222"/>
          <w:sz w:val="23"/>
          <w:szCs w:val="23"/>
        </w:rPr>
      </w:pPr>
      <w:hyperlink r:id="rId5" w:history="1">
        <w:proofErr w:type="gramStart"/>
        <w:r w:rsidRPr="00851945">
          <w:rPr>
            <w:rFonts w:ascii="Arial" w:eastAsia="Times New Roman" w:hAnsi="Arial" w:cs="Arial"/>
            <w:color w:val="1A0DAB"/>
            <w:sz w:val="23"/>
            <w:szCs w:val="23"/>
            <w:u w:val="single"/>
          </w:rPr>
          <w:t>(BOLI 3004; CA A130422; SC S056265).</w:t>
        </w:r>
        <w:proofErr w:type="gramEnd"/>
      </w:hyperlink>
    </w:p>
    <w:p w:rsidR="00851945" w:rsidRPr="00851945" w:rsidRDefault="00851945" w:rsidP="00851945">
      <w:pPr>
        <w:shd w:val="clear" w:color="auto" w:fill="FFFFFF"/>
        <w:spacing w:before="100" w:beforeAutospacing="1" w:after="100" w:afterAutospacing="1" w:line="240" w:lineRule="auto"/>
        <w:jc w:val="center"/>
        <w:rPr>
          <w:rFonts w:ascii="Arial" w:eastAsia="Times New Roman" w:hAnsi="Arial" w:cs="Arial"/>
          <w:color w:val="222222"/>
          <w:sz w:val="23"/>
          <w:szCs w:val="23"/>
        </w:rPr>
      </w:pPr>
      <w:proofErr w:type="gramStart"/>
      <w:r w:rsidRPr="00851945">
        <w:rPr>
          <w:rFonts w:ascii="Arial" w:eastAsia="Times New Roman" w:hAnsi="Arial" w:cs="Arial"/>
          <w:b/>
          <w:bCs/>
          <w:color w:val="222222"/>
          <w:sz w:val="23"/>
          <w:szCs w:val="23"/>
        </w:rPr>
        <w:t xml:space="preserve">Supreme Court of Oregon, </w:t>
      </w:r>
      <w:proofErr w:type="spellStart"/>
      <w:r w:rsidRPr="00851945">
        <w:rPr>
          <w:rFonts w:ascii="Arial" w:eastAsia="Times New Roman" w:hAnsi="Arial" w:cs="Arial"/>
          <w:b/>
          <w:bCs/>
          <w:color w:val="222222"/>
          <w:sz w:val="23"/>
          <w:szCs w:val="23"/>
        </w:rPr>
        <w:t>En</w:t>
      </w:r>
      <w:proofErr w:type="spellEnd"/>
      <w:r w:rsidRPr="00851945">
        <w:rPr>
          <w:rFonts w:ascii="Arial" w:eastAsia="Times New Roman" w:hAnsi="Arial" w:cs="Arial"/>
          <w:b/>
          <w:bCs/>
          <w:color w:val="222222"/>
          <w:sz w:val="23"/>
          <w:szCs w:val="23"/>
        </w:rPr>
        <w:t xml:space="preserve"> Banc.</w:t>
      </w:r>
      <w:proofErr w:type="gramEnd"/>
    </w:p>
    <w:p w:rsidR="00851945" w:rsidRPr="00851945" w:rsidRDefault="00851945" w:rsidP="00851945">
      <w:pPr>
        <w:shd w:val="clear" w:color="auto" w:fill="FFFFFF"/>
        <w:spacing w:after="0" w:line="240" w:lineRule="auto"/>
        <w:jc w:val="center"/>
        <w:rPr>
          <w:rFonts w:ascii="Arial" w:eastAsia="Times New Roman" w:hAnsi="Arial" w:cs="Arial"/>
          <w:color w:val="222222"/>
          <w:sz w:val="23"/>
          <w:szCs w:val="23"/>
        </w:rPr>
      </w:pPr>
      <w:r w:rsidRPr="00851945">
        <w:rPr>
          <w:rFonts w:ascii="Arial" w:eastAsia="Times New Roman" w:hAnsi="Arial" w:cs="Arial"/>
          <w:color w:val="222222"/>
          <w:sz w:val="23"/>
          <w:szCs w:val="23"/>
        </w:rPr>
        <w:t>Argued and Submitted March 6, 2009.</w:t>
      </w:r>
    </w:p>
    <w:p w:rsidR="00851945" w:rsidRPr="00851945" w:rsidRDefault="00851945" w:rsidP="00851945">
      <w:pPr>
        <w:shd w:val="clear" w:color="auto" w:fill="FFFFFF"/>
        <w:spacing w:after="0" w:line="240" w:lineRule="auto"/>
        <w:jc w:val="center"/>
        <w:rPr>
          <w:rFonts w:ascii="Arial" w:eastAsia="Times New Roman" w:hAnsi="Arial" w:cs="Arial"/>
          <w:color w:val="222222"/>
          <w:sz w:val="23"/>
          <w:szCs w:val="23"/>
        </w:rPr>
      </w:pPr>
      <w:proofErr w:type="gramStart"/>
      <w:r w:rsidRPr="00851945">
        <w:rPr>
          <w:rFonts w:ascii="Arial" w:eastAsia="Times New Roman" w:hAnsi="Arial" w:cs="Arial"/>
          <w:color w:val="222222"/>
          <w:sz w:val="23"/>
          <w:szCs w:val="23"/>
        </w:rPr>
        <w:t>Decided April 15, 2010.</w:t>
      </w:r>
      <w:proofErr w:type="gramEnd"/>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hyperlink r:id="rId6" w:anchor="p519" w:history="1">
        <w:r w:rsidRPr="00851945">
          <w:rPr>
            <w:rFonts w:ascii="Arial" w:eastAsia="Times New Roman" w:hAnsi="Arial" w:cs="Arial"/>
            <w:color w:val="AAAAAA"/>
            <w:sz w:val="20"/>
            <w:szCs w:val="20"/>
            <w:shd w:val="clear" w:color="auto" w:fill="FFFFFF"/>
          </w:rPr>
          <w:t>519</w:t>
        </w:r>
      </w:hyperlink>
      <w:hyperlink r:id="rId7" w:anchor="p519" w:history="1">
        <w:r w:rsidRPr="00851945">
          <w:rPr>
            <w:rFonts w:ascii="Arial" w:eastAsia="Times New Roman" w:hAnsi="Arial" w:cs="Arial"/>
            <w:color w:val="AAAAAA"/>
            <w:sz w:val="20"/>
            <w:szCs w:val="20"/>
          </w:rPr>
          <w:t>*519</w:t>
        </w:r>
      </w:hyperlink>
      <w:r w:rsidRPr="00851945">
        <w:rPr>
          <w:rFonts w:ascii="Arial" w:eastAsia="Times New Roman" w:hAnsi="Arial" w:cs="Arial"/>
          <w:color w:val="222222"/>
          <w:sz w:val="23"/>
          <w:szCs w:val="23"/>
        </w:rPr>
        <w:t xml:space="preserve"> Terence J. Hammons, of Hammons &amp; Mills, Eugene, argued the cause and filed the brief for petitioner on review.</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Janet A. Metcalf, Assistant Attorney General, Salem, argued the cause and filed the brief for respondent on review. With her on the brief were John R. Kroger, Attorney General, and Erika L. </w:t>
      </w:r>
      <w:proofErr w:type="spellStart"/>
      <w:r w:rsidRPr="00851945">
        <w:rPr>
          <w:rFonts w:ascii="Arial" w:eastAsia="Times New Roman" w:hAnsi="Arial" w:cs="Arial"/>
          <w:color w:val="222222"/>
          <w:sz w:val="23"/>
          <w:szCs w:val="23"/>
        </w:rPr>
        <w:t>Hadlock</w:t>
      </w:r>
      <w:proofErr w:type="spellEnd"/>
      <w:r w:rsidRPr="00851945">
        <w:rPr>
          <w:rFonts w:ascii="Arial" w:eastAsia="Times New Roman" w:hAnsi="Arial" w:cs="Arial"/>
          <w:color w:val="222222"/>
          <w:sz w:val="23"/>
          <w:szCs w:val="23"/>
        </w:rPr>
        <w:t>, Acting Solicitor General.</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Paula A. </w:t>
      </w:r>
      <w:proofErr w:type="spellStart"/>
      <w:r w:rsidRPr="00851945">
        <w:rPr>
          <w:rFonts w:ascii="Arial" w:eastAsia="Times New Roman" w:hAnsi="Arial" w:cs="Arial"/>
          <w:color w:val="222222"/>
          <w:sz w:val="23"/>
          <w:szCs w:val="23"/>
        </w:rPr>
        <w:t>Barran</w:t>
      </w:r>
      <w:proofErr w:type="spellEnd"/>
      <w:r w:rsidRPr="00851945">
        <w:rPr>
          <w:rFonts w:ascii="Arial" w:eastAsia="Times New Roman" w:hAnsi="Arial" w:cs="Arial"/>
          <w:color w:val="222222"/>
          <w:sz w:val="23"/>
          <w:szCs w:val="23"/>
        </w:rPr>
        <w:t xml:space="preserve">, of </w:t>
      </w:r>
      <w:proofErr w:type="spellStart"/>
      <w:r w:rsidRPr="00851945">
        <w:rPr>
          <w:rFonts w:ascii="Arial" w:eastAsia="Times New Roman" w:hAnsi="Arial" w:cs="Arial"/>
          <w:color w:val="222222"/>
          <w:sz w:val="23"/>
          <w:szCs w:val="23"/>
        </w:rPr>
        <w:t>Barran</w:t>
      </w:r>
      <w:proofErr w:type="spellEnd"/>
      <w:r w:rsidRPr="00851945">
        <w:rPr>
          <w:rFonts w:ascii="Arial" w:eastAsia="Times New Roman" w:hAnsi="Arial" w:cs="Arial"/>
          <w:color w:val="222222"/>
          <w:sz w:val="23"/>
          <w:szCs w:val="23"/>
        </w:rPr>
        <w:t xml:space="preserve"> </w:t>
      </w:r>
      <w:proofErr w:type="spellStart"/>
      <w:r w:rsidRPr="00851945">
        <w:rPr>
          <w:rFonts w:ascii="Arial" w:eastAsia="Times New Roman" w:hAnsi="Arial" w:cs="Arial"/>
          <w:color w:val="222222"/>
          <w:sz w:val="23"/>
          <w:szCs w:val="23"/>
        </w:rPr>
        <w:t>Liebman</w:t>
      </w:r>
      <w:proofErr w:type="spellEnd"/>
      <w:r w:rsidRPr="00851945">
        <w:rPr>
          <w:rFonts w:ascii="Arial" w:eastAsia="Times New Roman" w:hAnsi="Arial" w:cs="Arial"/>
          <w:color w:val="222222"/>
          <w:sz w:val="23"/>
          <w:szCs w:val="23"/>
        </w:rPr>
        <w:t xml:space="preserve"> LLP, Portland, filed the brief for amicus curiae Associated Oregon Industries.</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James N. Westwood, of </w:t>
      </w:r>
      <w:proofErr w:type="spellStart"/>
      <w:r w:rsidRPr="00851945">
        <w:rPr>
          <w:rFonts w:ascii="Arial" w:eastAsia="Times New Roman" w:hAnsi="Arial" w:cs="Arial"/>
          <w:color w:val="222222"/>
          <w:sz w:val="23"/>
          <w:szCs w:val="23"/>
        </w:rPr>
        <w:t>Stoel</w:t>
      </w:r>
      <w:proofErr w:type="spellEnd"/>
      <w:r w:rsidRPr="00851945">
        <w:rPr>
          <w:rFonts w:ascii="Arial" w:eastAsia="Times New Roman" w:hAnsi="Arial" w:cs="Arial"/>
          <w:color w:val="222222"/>
          <w:sz w:val="23"/>
          <w:szCs w:val="23"/>
        </w:rPr>
        <w:t xml:space="preserve"> Rives LLP, Portland, filed the brief for amici curiae Pacific Legal Foundation and National Federation of Independent Business. With him on the brief was Deborah J. La </w:t>
      </w:r>
      <w:proofErr w:type="spellStart"/>
      <w:r w:rsidRPr="00851945">
        <w:rPr>
          <w:rFonts w:ascii="Arial" w:eastAsia="Times New Roman" w:hAnsi="Arial" w:cs="Arial"/>
          <w:color w:val="222222"/>
          <w:sz w:val="23"/>
          <w:szCs w:val="23"/>
        </w:rPr>
        <w:t>Fetra</w:t>
      </w:r>
      <w:proofErr w:type="spellEnd"/>
      <w:r w:rsidRPr="00851945">
        <w:rPr>
          <w:rFonts w:ascii="Arial" w:eastAsia="Times New Roman" w:hAnsi="Arial" w:cs="Arial"/>
          <w:color w:val="222222"/>
          <w:sz w:val="23"/>
          <w:szCs w:val="23"/>
        </w:rPr>
        <w:t>.</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KISTLER, J.</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The Oregon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Act authorizes persons holding a registry identification card to use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for medical purposes. </w:t>
      </w:r>
      <w:proofErr w:type="gramStart"/>
      <w:r w:rsidRPr="00851945">
        <w:rPr>
          <w:rFonts w:ascii="Arial" w:eastAsia="Times New Roman" w:hAnsi="Arial" w:cs="Arial"/>
          <w:color w:val="222222"/>
          <w:sz w:val="23"/>
          <w:szCs w:val="23"/>
        </w:rPr>
        <w:t>ORS 475.306(1).</w:t>
      </w:r>
      <w:proofErr w:type="gramEnd"/>
      <w:r w:rsidRPr="00851945">
        <w:rPr>
          <w:rFonts w:ascii="Arial" w:eastAsia="Times New Roman" w:hAnsi="Arial" w:cs="Arial"/>
          <w:color w:val="222222"/>
          <w:sz w:val="23"/>
          <w:szCs w:val="23"/>
        </w:rPr>
        <w:t xml:space="preserve"> It also exempts those persons from state criminal liability for </w:t>
      </w:r>
      <w:hyperlink r:id="rId8" w:anchor="p520" w:history="1">
        <w:r w:rsidRPr="00851945">
          <w:rPr>
            <w:rFonts w:ascii="Arial" w:eastAsia="Times New Roman" w:hAnsi="Arial" w:cs="Arial"/>
            <w:color w:val="AAAAAA"/>
            <w:sz w:val="20"/>
            <w:szCs w:val="20"/>
            <w:shd w:val="clear" w:color="auto" w:fill="FFFFFF"/>
          </w:rPr>
          <w:t>520</w:t>
        </w:r>
      </w:hyperlink>
      <w:hyperlink r:id="rId9" w:anchor="p520" w:history="1">
        <w:r w:rsidRPr="00851945">
          <w:rPr>
            <w:rFonts w:ascii="Arial" w:eastAsia="Times New Roman" w:hAnsi="Arial" w:cs="Arial"/>
            <w:color w:val="AAAAAA"/>
            <w:sz w:val="20"/>
            <w:szCs w:val="20"/>
          </w:rPr>
          <w:t>*520</w:t>
        </w:r>
      </w:hyperlink>
      <w:r w:rsidRPr="00851945">
        <w:rPr>
          <w:rFonts w:ascii="Arial" w:eastAsia="Times New Roman" w:hAnsi="Arial" w:cs="Arial"/>
          <w:color w:val="222222"/>
          <w:sz w:val="23"/>
          <w:szCs w:val="23"/>
        </w:rPr>
        <w:t xml:space="preserve"> manufacturing, delivering, and possessing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provided that certain conditions are met. </w:t>
      </w:r>
      <w:proofErr w:type="gramStart"/>
      <w:r w:rsidRPr="00851945">
        <w:rPr>
          <w:rFonts w:ascii="Arial" w:eastAsia="Times New Roman" w:hAnsi="Arial" w:cs="Arial"/>
          <w:color w:val="222222"/>
          <w:sz w:val="23"/>
          <w:szCs w:val="23"/>
        </w:rPr>
        <w:t>ORS 475.309(1).</w:t>
      </w:r>
      <w:proofErr w:type="gramEnd"/>
      <w:r w:rsidRPr="00851945">
        <w:rPr>
          <w:rFonts w:ascii="Arial" w:eastAsia="Times New Roman" w:hAnsi="Arial" w:cs="Arial"/>
          <w:color w:val="222222"/>
          <w:sz w:val="23"/>
          <w:szCs w:val="23"/>
        </w:rPr>
        <w:t xml:space="preserve"> The Federal Controlled Substances Act, 21 U.S.C. § 801 </w:t>
      </w:r>
      <w:r w:rsidRPr="00851945">
        <w:rPr>
          <w:rFonts w:ascii="Arial" w:eastAsia="Times New Roman" w:hAnsi="Arial" w:cs="Arial"/>
          <w:i/>
          <w:iCs/>
          <w:color w:val="222222"/>
          <w:sz w:val="23"/>
          <w:szCs w:val="23"/>
        </w:rPr>
        <w:t>et seq.,</w:t>
      </w:r>
      <w:r w:rsidRPr="00851945">
        <w:rPr>
          <w:rFonts w:ascii="Arial" w:eastAsia="Times New Roman" w:hAnsi="Arial" w:cs="Arial"/>
          <w:color w:val="222222"/>
          <w:sz w:val="23"/>
          <w:szCs w:val="23"/>
        </w:rPr>
        <w:t xml:space="preserve"> prohibits the manufacture, distribution, dispensation, and possession of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even when state law authorizes its use to treat medical conditions. </w:t>
      </w:r>
      <w:hyperlink r:id="rId10" w:history="1">
        <w:r w:rsidRPr="00851945">
          <w:rPr>
            <w:rFonts w:ascii="Arial" w:eastAsia="Times New Roman" w:hAnsi="Arial" w:cs="Arial"/>
            <w:i/>
            <w:iCs/>
            <w:color w:val="1A0DAB"/>
            <w:sz w:val="23"/>
            <w:szCs w:val="23"/>
            <w:u w:val="single"/>
          </w:rPr>
          <w:t xml:space="preserve">Gonzales v. </w:t>
        </w:r>
        <w:proofErr w:type="spellStart"/>
        <w:r w:rsidRPr="00851945">
          <w:rPr>
            <w:rFonts w:ascii="Arial" w:eastAsia="Times New Roman" w:hAnsi="Arial" w:cs="Arial"/>
            <w:i/>
            <w:iCs/>
            <w:color w:val="1A0DAB"/>
            <w:sz w:val="23"/>
            <w:szCs w:val="23"/>
            <w:u w:val="single"/>
          </w:rPr>
          <w:t>Raich</w:t>
        </w:r>
        <w:proofErr w:type="spellEnd"/>
        <w:r w:rsidRPr="00851945">
          <w:rPr>
            <w:rFonts w:ascii="Arial" w:eastAsia="Times New Roman" w:hAnsi="Arial" w:cs="Arial"/>
            <w:i/>
            <w:iCs/>
            <w:color w:val="1A0DAB"/>
            <w:sz w:val="23"/>
            <w:szCs w:val="23"/>
            <w:u w:val="single"/>
          </w:rPr>
          <w:t>,</w:t>
        </w:r>
        <w:r w:rsidRPr="00851945">
          <w:rPr>
            <w:rFonts w:ascii="Arial" w:eastAsia="Times New Roman" w:hAnsi="Arial" w:cs="Arial"/>
            <w:color w:val="1A0DAB"/>
            <w:sz w:val="23"/>
            <w:szCs w:val="23"/>
            <w:u w:val="single"/>
          </w:rPr>
          <w:t xml:space="preserve"> 545 U.S. 1, 29, 125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2195, 162 L.Ed.2d 1 (2005)</w:t>
        </w:r>
      </w:hyperlink>
      <w:r w:rsidRPr="00851945">
        <w:rPr>
          <w:rFonts w:ascii="Arial" w:eastAsia="Times New Roman" w:hAnsi="Arial" w:cs="Arial"/>
          <w:color w:val="222222"/>
          <w:sz w:val="23"/>
          <w:szCs w:val="23"/>
        </w:rPr>
        <w:t xml:space="preserve">; </w:t>
      </w:r>
      <w:r w:rsidRPr="00851945">
        <w:rPr>
          <w:rFonts w:ascii="Arial" w:eastAsia="Times New Roman" w:hAnsi="Arial" w:cs="Arial"/>
          <w:i/>
          <w:iCs/>
          <w:color w:val="222222"/>
          <w:sz w:val="23"/>
          <w:szCs w:val="23"/>
        </w:rPr>
        <w:t xml:space="preserve">see </w:t>
      </w:r>
      <w:hyperlink r:id="rId11" w:history="1">
        <w:r w:rsidRPr="00851945">
          <w:rPr>
            <w:rFonts w:ascii="Arial" w:eastAsia="Times New Roman" w:hAnsi="Arial" w:cs="Arial"/>
            <w:i/>
            <w:iCs/>
            <w:color w:val="1A0DAB"/>
            <w:sz w:val="23"/>
            <w:szCs w:val="23"/>
            <w:u w:val="single"/>
          </w:rPr>
          <w:t>United States v. Oakland Cannabis Buyers' Cooperative,</w:t>
        </w:r>
        <w:r w:rsidRPr="00851945">
          <w:rPr>
            <w:rFonts w:ascii="Arial" w:eastAsia="Times New Roman" w:hAnsi="Arial" w:cs="Arial"/>
            <w:color w:val="1A0DAB"/>
            <w:sz w:val="23"/>
            <w:szCs w:val="23"/>
            <w:u w:val="single"/>
          </w:rPr>
          <w:t xml:space="preserve"> 532 U.S. 483, 486, 121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1711, 149 L.Ed.2d 722 (2001)</w:t>
        </w:r>
      </w:hyperlink>
      <w:r w:rsidRPr="00851945">
        <w:rPr>
          <w:rFonts w:ascii="Arial" w:eastAsia="Times New Roman" w:hAnsi="Arial" w:cs="Arial"/>
          <w:color w:val="222222"/>
          <w:sz w:val="23"/>
          <w:szCs w:val="23"/>
        </w:rPr>
        <w:t xml:space="preserve"> (holding that there is no medical necessity exception to the federal prohibition against manufacturing and distributing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The question that this case poses is how those state and federal laws intersect in the context of an employment discrimination claim; specifically, employer argues that, because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possession is unlawful under federal law, even when used for medical purposes, state law does not require an employer to accommodate an employee's use of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to treat a disabling medical condition. The Court of Appeals declined to reach that question, reasoning that employer had not preserved it. </w:t>
      </w:r>
      <w:hyperlink r:id="rId12" w:history="1">
        <w:r w:rsidRPr="00851945">
          <w:rPr>
            <w:rFonts w:ascii="Arial" w:eastAsia="Times New Roman" w:hAnsi="Arial" w:cs="Arial"/>
            <w:b/>
            <w:bCs/>
            <w:i/>
            <w:iCs/>
            <w:color w:val="000000"/>
            <w:sz w:val="23"/>
            <w:szCs w:val="23"/>
            <w:u w:val="single"/>
            <w:shd w:val="clear" w:color="auto" w:fill="FFFFCC"/>
          </w:rPr>
          <w:t>Emerald</w:t>
        </w:r>
        <w:r w:rsidRPr="00851945">
          <w:rPr>
            <w:rFonts w:ascii="Arial" w:eastAsia="Times New Roman" w:hAnsi="Arial" w:cs="Arial"/>
            <w:i/>
            <w:iCs/>
            <w:color w:val="1A0DAB"/>
            <w:sz w:val="23"/>
            <w:szCs w:val="23"/>
            <w:u w:val="single"/>
          </w:rPr>
          <w:t xml:space="preserve"> Steel Fabricators, Inc. v. BOLI,</w:t>
        </w:r>
        <w:r w:rsidRPr="00851945">
          <w:rPr>
            <w:rFonts w:ascii="Arial" w:eastAsia="Times New Roman" w:hAnsi="Arial" w:cs="Arial"/>
            <w:color w:val="1A0DAB"/>
            <w:sz w:val="23"/>
            <w:szCs w:val="23"/>
            <w:u w:val="single"/>
          </w:rPr>
          <w:t xml:space="preserve"> </w:t>
        </w:r>
        <w:proofErr w:type="gramStart"/>
        <w:r w:rsidRPr="00851945">
          <w:rPr>
            <w:rFonts w:ascii="Arial" w:eastAsia="Times New Roman" w:hAnsi="Arial" w:cs="Arial"/>
            <w:color w:val="1A0DAB"/>
            <w:sz w:val="23"/>
            <w:szCs w:val="23"/>
            <w:u w:val="single"/>
          </w:rPr>
          <w:t xml:space="preserve">220 </w:t>
        </w:r>
        <w:proofErr w:type="spellStart"/>
        <w:r w:rsidRPr="00851945">
          <w:rPr>
            <w:rFonts w:ascii="Arial" w:eastAsia="Times New Roman" w:hAnsi="Arial" w:cs="Arial"/>
            <w:color w:val="1A0DAB"/>
            <w:sz w:val="23"/>
            <w:szCs w:val="23"/>
            <w:u w:val="single"/>
          </w:rPr>
          <w:t>Or.App</w:t>
        </w:r>
        <w:proofErr w:type="spellEnd"/>
        <w:proofErr w:type="gramEnd"/>
        <w:r w:rsidRPr="00851945">
          <w:rPr>
            <w:rFonts w:ascii="Arial" w:eastAsia="Times New Roman" w:hAnsi="Arial" w:cs="Arial"/>
            <w:color w:val="1A0DAB"/>
            <w:sz w:val="23"/>
            <w:szCs w:val="23"/>
            <w:u w:val="single"/>
          </w:rPr>
          <w:t xml:space="preserve">. </w:t>
        </w:r>
        <w:proofErr w:type="gramStart"/>
        <w:r w:rsidRPr="00851945">
          <w:rPr>
            <w:rFonts w:ascii="Arial" w:eastAsia="Times New Roman" w:hAnsi="Arial" w:cs="Arial"/>
            <w:color w:val="1A0DAB"/>
            <w:sz w:val="23"/>
            <w:szCs w:val="23"/>
            <w:u w:val="single"/>
          </w:rPr>
          <w:t>423, 186 P.3d 300 (2008)</w:t>
        </w:r>
      </w:hyperlink>
      <w:r w:rsidRPr="00851945">
        <w:rPr>
          <w:rFonts w:ascii="Arial" w:eastAsia="Times New Roman" w:hAnsi="Arial" w:cs="Arial"/>
          <w:color w:val="222222"/>
          <w:sz w:val="23"/>
          <w:szCs w:val="23"/>
        </w:rPr>
        <w:t>.</w:t>
      </w:r>
      <w:proofErr w:type="gramEnd"/>
      <w:r w:rsidRPr="00851945">
        <w:rPr>
          <w:rFonts w:ascii="Arial" w:eastAsia="Times New Roman" w:hAnsi="Arial" w:cs="Arial"/>
          <w:color w:val="222222"/>
          <w:sz w:val="23"/>
          <w:szCs w:val="23"/>
        </w:rPr>
        <w:t xml:space="preserve"> We allowed employer's petition for review and hold </w:t>
      </w:r>
      <w:r w:rsidRPr="00851945">
        <w:rPr>
          <w:rFonts w:ascii="Arial" w:eastAsia="Times New Roman" w:hAnsi="Arial" w:cs="Arial"/>
          <w:color w:val="222222"/>
          <w:sz w:val="23"/>
          <w:szCs w:val="23"/>
        </w:rPr>
        <w:lastRenderedPageBreak/>
        <w:t xml:space="preserve">initially that employer preserved the question that it sought to raise in the Court of Appeals. We also hold that, under Oregon's employment discrimination laws, employer was not required to accommodate employee's use of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Accordingly, we reverse the Court of Appeals decision.</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Since 1992, employee has experienced anxiety, panic attacks, nausea, vomiting, and severe stomach cramps, all of which have substantially limited his ability to eat. Between January 1996 and November 2001, employee used a variety of prescription drugs in an attempt to alleviate that condition. None of those drugs proved effective for an extended period of time, and some had negative effects. In 1996, employee began using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to self-medicate his condition.</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In April 2002, employee consulted with a physician for the purpose of obtaining a registry identification card under the Oregon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Act. The physician signed a statement that employee has a "debilitating medical condition" and that "[m]</w:t>
      </w:r>
      <w:proofErr w:type="spellStart"/>
      <w:r w:rsidRPr="00851945">
        <w:rPr>
          <w:rFonts w:ascii="Arial" w:eastAsia="Times New Roman" w:hAnsi="Arial" w:cs="Arial"/>
          <w:color w:val="222222"/>
          <w:sz w:val="23"/>
          <w:szCs w:val="23"/>
        </w:rPr>
        <w:t>arijuana</w:t>
      </w:r>
      <w:proofErr w:type="spellEnd"/>
      <w:r w:rsidRPr="00851945">
        <w:rPr>
          <w:rFonts w:ascii="Arial" w:eastAsia="Times New Roman" w:hAnsi="Arial" w:cs="Arial"/>
          <w:color w:val="222222"/>
          <w:sz w:val="23"/>
          <w:szCs w:val="23"/>
        </w:rPr>
        <w:t xml:space="preserve"> may mitigate the symptoms or effects of this patient's condition." The statement added, however, "This is not a prescription for the use of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The statement that employee's physician signed tracks the terms of the Oregon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Act. That act directs the state to issue registry identification cards to persons when a physician states that "the person has been diagnosed with a debilitating medical condition and that the medical use of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may mitigate the symptoms or effects" of that condition. </w:t>
      </w:r>
      <w:proofErr w:type="gramStart"/>
      <w:r w:rsidRPr="00851945">
        <w:rPr>
          <w:rFonts w:ascii="Arial" w:eastAsia="Times New Roman" w:hAnsi="Arial" w:cs="Arial"/>
          <w:color w:val="222222"/>
          <w:sz w:val="23"/>
          <w:szCs w:val="23"/>
        </w:rPr>
        <w:t>ORS 475.309(2).</w:t>
      </w:r>
      <w:bookmarkStart w:id="0" w:name="r[1]"/>
      <w:proofErr w:type="gramEnd"/>
      <w:r w:rsidRPr="00851945">
        <w:rPr>
          <w:rFonts w:ascii="Arial" w:eastAsia="Times New Roman" w:hAnsi="Arial" w:cs="Arial"/>
          <w:color w:val="222222"/>
          <w:sz w:val="23"/>
          <w:szCs w:val="23"/>
          <w:vertAlign w:val="superscript"/>
        </w:rPr>
        <w:fldChar w:fldCharType="begin"/>
      </w:r>
      <w:r w:rsidRPr="00851945">
        <w:rPr>
          <w:rFonts w:ascii="Arial" w:eastAsia="Times New Roman" w:hAnsi="Arial" w:cs="Arial"/>
          <w:color w:val="222222"/>
          <w:sz w:val="23"/>
          <w:szCs w:val="23"/>
          <w:vertAlign w:val="superscript"/>
        </w:rPr>
        <w:instrText xml:space="preserve"> HYPERLINK "http://scholar.google.com/scholar_case?case=12394314758738904678&amp;q=emerald+marijuana&amp;hl=en&amp;as_sdt=4,38" \l "[1]" </w:instrText>
      </w:r>
      <w:r w:rsidRPr="00851945">
        <w:rPr>
          <w:rFonts w:ascii="Arial" w:eastAsia="Times New Roman" w:hAnsi="Arial" w:cs="Arial"/>
          <w:color w:val="222222"/>
          <w:sz w:val="23"/>
          <w:szCs w:val="23"/>
          <w:vertAlign w:val="superscript"/>
        </w:rPr>
        <w:fldChar w:fldCharType="separate"/>
      </w:r>
      <w:r w:rsidRPr="00851945">
        <w:rPr>
          <w:rFonts w:ascii="Arial" w:eastAsia="Times New Roman" w:hAnsi="Arial" w:cs="Arial"/>
          <w:color w:val="1A0DAB"/>
          <w:sz w:val="23"/>
          <w:szCs w:val="23"/>
          <w:u w:val="single"/>
          <w:vertAlign w:val="superscript"/>
        </w:rPr>
        <w:t>[1]</w:t>
      </w:r>
      <w:r w:rsidRPr="00851945">
        <w:rPr>
          <w:rFonts w:ascii="Arial" w:eastAsia="Times New Roman" w:hAnsi="Arial" w:cs="Arial"/>
          <w:color w:val="222222"/>
          <w:sz w:val="23"/>
          <w:szCs w:val="23"/>
          <w:vertAlign w:val="superscript"/>
        </w:rPr>
        <w:fldChar w:fldCharType="end"/>
      </w:r>
      <w:bookmarkEnd w:id="0"/>
      <w:r w:rsidRPr="00851945">
        <w:rPr>
          <w:rFonts w:ascii="Arial" w:eastAsia="Times New Roman" w:hAnsi="Arial" w:cs="Arial"/>
          <w:color w:val="222222"/>
          <w:sz w:val="23"/>
          <w:szCs w:val="23"/>
        </w:rPr>
        <w:t xml:space="preserve"> No prescription is required as a prerequisite for obtaining a registry identification card. </w:t>
      </w:r>
      <w:r w:rsidRPr="00851945">
        <w:rPr>
          <w:rFonts w:ascii="Arial" w:eastAsia="Times New Roman" w:hAnsi="Arial" w:cs="Arial"/>
          <w:i/>
          <w:iCs/>
          <w:color w:val="222222"/>
          <w:sz w:val="23"/>
          <w:szCs w:val="23"/>
        </w:rPr>
        <w:t>See id.</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Based on the physician's statement, employee obtained a registry identification card in June 2002, which he renewed in 2003.</w:t>
      </w:r>
      <w:bookmarkStart w:id="1" w:name="r[2]"/>
      <w:r w:rsidRPr="00851945">
        <w:rPr>
          <w:rFonts w:ascii="Arial" w:eastAsia="Times New Roman" w:hAnsi="Arial" w:cs="Arial"/>
          <w:color w:val="222222"/>
          <w:sz w:val="23"/>
          <w:szCs w:val="23"/>
          <w:vertAlign w:val="superscript"/>
        </w:rPr>
        <w:fldChar w:fldCharType="begin"/>
      </w:r>
      <w:r w:rsidRPr="00851945">
        <w:rPr>
          <w:rFonts w:ascii="Arial" w:eastAsia="Times New Roman" w:hAnsi="Arial" w:cs="Arial"/>
          <w:color w:val="222222"/>
          <w:sz w:val="23"/>
          <w:szCs w:val="23"/>
          <w:vertAlign w:val="superscript"/>
        </w:rPr>
        <w:instrText xml:space="preserve"> HYPERLINK "http://scholar.google.com/scholar_case?case=12394314758738904678&amp;q=emerald+marijuana&amp;hl=en&amp;as_sdt=4,38" \l "[2]" </w:instrText>
      </w:r>
      <w:r w:rsidRPr="00851945">
        <w:rPr>
          <w:rFonts w:ascii="Arial" w:eastAsia="Times New Roman" w:hAnsi="Arial" w:cs="Arial"/>
          <w:color w:val="222222"/>
          <w:sz w:val="23"/>
          <w:szCs w:val="23"/>
          <w:vertAlign w:val="superscript"/>
        </w:rPr>
        <w:fldChar w:fldCharType="separate"/>
      </w:r>
      <w:r w:rsidRPr="00851945">
        <w:rPr>
          <w:rFonts w:ascii="Arial" w:eastAsia="Times New Roman" w:hAnsi="Arial" w:cs="Arial"/>
          <w:color w:val="1A0DAB"/>
          <w:sz w:val="23"/>
          <w:szCs w:val="23"/>
          <w:u w:val="single"/>
          <w:vertAlign w:val="superscript"/>
        </w:rPr>
        <w:t>[2]</w:t>
      </w:r>
      <w:r w:rsidRPr="00851945">
        <w:rPr>
          <w:rFonts w:ascii="Arial" w:eastAsia="Times New Roman" w:hAnsi="Arial" w:cs="Arial"/>
          <w:color w:val="222222"/>
          <w:sz w:val="23"/>
          <w:szCs w:val="23"/>
          <w:vertAlign w:val="superscript"/>
        </w:rPr>
        <w:fldChar w:fldCharType="end"/>
      </w:r>
      <w:bookmarkEnd w:id="1"/>
      <w:r w:rsidRPr="00851945">
        <w:rPr>
          <w:rFonts w:ascii="Arial" w:eastAsia="Times New Roman" w:hAnsi="Arial" w:cs="Arial"/>
          <w:color w:val="222222"/>
          <w:sz w:val="23"/>
          <w:szCs w:val="23"/>
        </w:rPr>
        <w:t xml:space="preserve"> That card authorized employee to "engage in * * * the medical use of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subject to certain restrictions. </w:t>
      </w:r>
      <w:proofErr w:type="gramStart"/>
      <w:r w:rsidRPr="00851945">
        <w:rPr>
          <w:rFonts w:ascii="Arial" w:eastAsia="Times New Roman" w:hAnsi="Arial" w:cs="Arial"/>
          <w:color w:val="222222"/>
          <w:sz w:val="23"/>
          <w:szCs w:val="23"/>
        </w:rPr>
        <w:t>ORS 475.306(1).</w:t>
      </w:r>
      <w:proofErr w:type="gramEnd"/>
      <w:r w:rsidRPr="00851945">
        <w:rPr>
          <w:rFonts w:ascii="Arial" w:eastAsia="Times New Roman" w:hAnsi="Arial" w:cs="Arial"/>
          <w:color w:val="222222"/>
          <w:sz w:val="23"/>
          <w:szCs w:val="23"/>
        </w:rPr>
        <w:t xml:space="preserve"> Possession of the card also exempted him from state criminal prosecution for the possession, distribution, and manufacture of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provided that he met certain conditions. </w:t>
      </w:r>
      <w:proofErr w:type="gramStart"/>
      <w:r w:rsidRPr="00851945">
        <w:rPr>
          <w:rFonts w:ascii="Arial" w:eastAsia="Times New Roman" w:hAnsi="Arial" w:cs="Arial"/>
          <w:color w:val="222222"/>
          <w:sz w:val="23"/>
          <w:szCs w:val="23"/>
        </w:rPr>
        <w:t>ORS 475.309(1).</w:t>
      </w:r>
      <w:proofErr w:type="gramEnd"/>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Employer manufactures steel products. In January 2003, employer hired employee on a temporary basis as a drill press operator. While working for employer, employee used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one to three times per day, although not at work. Employee's work was satisfactory, and employer was considering hiring him on a permanent basis. </w:t>
      </w:r>
      <w:hyperlink r:id="rId13" w:anchor="p521" w:history="1">
        <w:r w:rsidRPr="00851945">
          <w:rPr>
            <w:rFonts w:ascii="Arial" w:eastAsia="Times New Roman" w:hAnsi="Arial" w:cs="Arial"/>
            <w:color w:val="AAAAAA"/>
            <w:sz w:val="20"/>
            <w:szCs w:val="20"/>
            <w:shd w:val="clear" w:color="auto" w:fill="FFFFFF"/>
          </w:rPr>
          <w:t>521</w:t>
        </w:r>
      </w:hyperlink>
      <w:hyperlink r:id="rId14" w:anchor="p521" w:history="1">
        <w:r w:rsidRPr="00851945">
          <w:rPr>
            <w:rFonts w:ascii="Arial" w:eastAsia="Times New Roman" w:hAnsi="Arial" w:cs="Arial"/>
            <w:color w:val="AAAAAA"/>
            <w:sz w:val="20"/>
            <w:szCs w:val="20"/>
          </w:rPr>
          <w:t>*521</w:t>
        </w:r>
      </w:hyperlink>
      <w:r w:rsidRPr="00851945">
        <w:rPr>
          <w:rFonts w:ascii="Arial" w:eastAsia="Times New Roman" w:hAnsi="Arial" w:cs="Arial"/>
          <w:color w:val="222222"/>
          <w:sz w:val="23"/>
          <w:szCs w:val="23"/>
        </w:rPr>
        <w:t xml:space="preserve"> Knowing that he would have to pass a drug test as a condition of permanent employment, employee told his supervisor that he had a registry identification card and that he used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for a medical problem; he also showed his supervisor documentation from his physician. In response to a question from his supervisor, employee said that he had tried other medications but that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was the most effective way to treat his condition. Neither employee's supervisor nor anyone else in management engaged in any other discussion with employee regarding alternative treatments for his condition. One week later, the supervisor discharged employee.</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Two months later, employee filed a complaint with the Bureau of Labor and Industries (BOLI), alleging that employer had discriminated against him in violation of ORS 659A.112. That statute prohibits discrimination against an otherwise qualified person because of a disability and requires, among other things, that employers "make reasonable accommodation" for a person's disability unless doing so would impose an undue hardship on the employer. ORS </w:t>
      </w:r>
      <w:proofErr w:type="gramStart"/>
      <w:r w:rsidRPr="00851945">
        <w:rPr>
          <w:rFonts w:ascii="Arial" w:eastAsia="Times New Roman" w:hAnsi="Arial" w:cs="Arial"/>
          <w:color w:val="222222"/>
          <w:sz w:val="23"/>
          <w:szCs w:val="23"/>
        </w:rPr>
        <w:t>659A.112(</w:t>
      </w:r>
      <w:proofErr w:type="gramEnd"/>
      <w:r w:rsidRPr="00851945">
        <w:rPr>
          <w:rFonts w:ascii="Arial" w:eastAsia="Times New Roman" w:hAnsi="Arial" w:cs="Arial"/>
          <w:color w:val="222222"/>
          <w:sz w:val="23"/>
          <w:szCs w:val="23"/>
        </w:rPr>
        <w:t xml:space="preserve">2)(e). Having investigated employee's complaint, BOLI </w:t>
      </w:r>
      <w:r w:rsidRPr="00851945">
        <w:rPr>
          <w:rFonts w:ascii="Arial" w:eastAsia="Times New Roman" w:hAnsi="Arial" w:cs="Arial"/>
          <w:color w:val="222222"/>
          <w:sz w:val="23"/>
          <w:szCs w:val="23"/>
        </w:rPr>
        <w:lastRenderedPageBreak/>
        <w:t xml:space="preserve">filed formal charges against employer, alleging that employer had discharged employee because of his disability in violation of ORS </w:t>
      </w:r>
      <w:proofErr w:type="gramStart"/>
      <w:r w:rsidRPr="00851945">
        <w:rPr>
          <w:rFonts w:ascii="Arial" w:eastAsia="Times New Roman" w:hAnsi="Arial" w:cs="Arial"/>
          <w:color w:val="222222"/>
          <w:sz w:val="23"/>
          <w:szCs w:val="23"/>
        </w:rPr>
        <w:t>659A.112(</w:t>
      </w:r>
      <w:proofErr w:type="gramEnd"/>
      <w:r w:rsidRPr="00851945">
        <w:rPr>
          <w:rFonts w:ascii="Arial" w:eastAsia="Times New Roman" w:hAnsi="Arial" w:cs="Arial"/>
          <w:color w:val="222222"/>
          <w:sz w:val="23"/>
          <w:szCs w:val="23"/>
        </w:rPr>
        <w:t>2)(c) and (g) and that employer had failed to reasonably accommodate employee's disability in violation of ORS 659A.112(2)(e) and (f). Employer filed an answer and raised seven affirmative defenses.</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After hearing the parties' evidence, an administrative law judge (ALJ) issued a proposed order in which he found that employee was a disabled person within the meaning of ORS chapter 659A but that employer had not discharged employee because of his disability. The ALJ found instead that employer had discharged employee because he used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and ruled that discharging employee for that reason did not violate ORS </w:t>
      </w:r>
      <w:proofErr w:type="gramStart"/>
      <w:r w:rsidRPr="00851945">
        <w:rPr>
          <w:rFonts w:ascii="Arial" w:eastAsia="Times New Roman" w:hAnsi="Arial" w:cs="Arial"/>
          <w:color w:val="222222"/>
          <w:sz w:val="23"/>
          <w:szCs w:val="23"/>
        </w:rPr>
        <w:t>659A.112(</w:t>
      </w:r>
      <w:proofErr w:type="gramEnd"/>
      <w:r w:rsidRPr="00851945">
        <w:rPr>
          <w:rFonts w:ascii="Arial" w:eastAsia="Times New Roman" w:hAnsi="Arial" w:cs="Arial"/>
          <w:color w:val="222222"/>
          <w:sz w:val="23"/>
          <w:szCs w:val="23"/>
        </w:rPr>
        <w:t xml:space="preserve">2)(c) or (g). The ALJ went on to rule, however, that employer had violated ORS </w:t>
      </w:r>
      <w:proofErr w:type="gramStart"/>
      <w:r w:rsidRPr="00851945">
        <w:rPr>
          <w:rFonts w:ascii="Arial" w:eastAsia="Times New Roman" w:hAnsi="Arial" w:cs="Arial"/>
          <w:color w:val="222222"/>
          <w:sz w:val="23"/>
          <w:szCs w:val="23"/>
        </w:rPr>
        <w:t>659A.112(</w:t>
      </w:r>
      <w:proofErr w:type="gramEnd"/>
      <w:r w:rsidRPr="00851945">
        <w:rPr>
          <w:rFonts w:ascii="Arial" w:eastAsia="Times New Roman" w:hAnsi="Arial" w:cs="Arial"/>
          <w:color w:val="222222"/>
          <w:sz w:val="23"/>
          <w:szCs w:val="23"/>
        </w:rPr>
        <w:t>2)(e) and (f), which prohibit an employer from failing to reasonably accommodate the "known physical or mental limitations of an otherwise qualified disabled person," and from denying employment opportunities to an otherwise qualified disabled person when the denial is based on the failure "to make reasonable accommodation to the physical or mental impairments of the employee."</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Among other things, the ALJ ruled that employer's failure to engage in a "meaningful interactive process" with employee, standing alone, violated the obligation set out in ORS 659A.112(2)(e) and (f) to reasonably accommodate employee's disability. The ALJ also found that employee had suffered damages as a result of those violations, and the commissioner of BOLI issued a final order that adopted the ALJ's findings in that regard.</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Employer sought review of the commissioner's order in the Court of Appeals. As we understand employer's argument in the Court of Appeals, it ran as follows: Oregon law requires that ORS 659A.112 be interpreted consistently with the federal Americans with Disabilities Act (ADA), 42 USC § 12101 </w:t>
      </w:r>
      <w:r w:rsidRPr="00851945">
        <w:rPr>
          <w:rFonts w:ascii="Arial" w:eastAsia="Times New Roman" w:hAnsi="Arial" w:cs="Arial"/>
          <w:i/>
          <w:iCs/>
          <w:color w:val="222222"/>
          <w:sz w:val="23"/>
          <w:szCs w:val="23"/>
        </w:rPr>
        <w:t>et seq.</w:t>
      </w:r>
      <w:r w:rsidRPr="00851945">
        <w:rPr>
          <w:rFonts w:ascii="Arial" w:eastAsia="Times New Roman" w:hAnsi="Arial" w:cs="Arial"/>
          <w:color w:val="222222"/>
          <w:sz w:val="23"/>
          <w:szCs w:val="23"/>
        </w:rPr>
        <w:t xml:space="preserve"> Section 12114(a) of the ADA provides that the protections of the ADA do not apply to persons who are currently engaged in the illegal use of drugs, and the federal Controlled Substances Act prohibits the possession of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without regard to whether it is used for medicinal purposes. It follows, employer reasoned, that the ADA does not apply to persons who are currently engaged in the use of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Like the ADA, ORS 659A.124 provides that the protections of ORS 659A.112 do not apply to persons who are currently engaged in the illegal use of drugs. Employer reasoned that, if ORS 659A.112 is interpreted consistently with the ADA, then ORS 659A.112 also does not apply to persons who are currently engaged in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use. Employer added that, in any event, the United States Supreme Court's opinion in </w:t>
      </w:r>
      <w:proofErr w:type="spellStart"/>
      <w:r w:rsidRPr="00851945">
        <w:rPr>
          <w:rFonts w:ascii="Arial" w:eastAsia="Times New Roman" w:hAnsi="Arial" w:cs="Arial"/>
          <w:i/>
          <w:iCs/>
          <w:color w:val="222222"/>
          <w:sz w:val="23"/>
          <w:szCs w:val="23"/>
        </w:rPr>
        <w:t>Raich</w:t>
      </w:r>
      <w:proofErr w:type="spellEnd"/>
      <w:r w:rsidRPr="00851945">
        <w:rPr>
          <w:rFonts w:ascii="Arial" w:eastAsia="Times New Roman" w:hAnsi="Arial" w:cs="Arial"/>
          <w:color w:val="222222"/>
          <w:sz w:val="23"/>
          <w:szCs w:val="23"/>
        </w:rPr>
        <w:t xml:space="preserve"> and the Supremacy Clause required that interpretation.</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The Court of Appeals did not reach the merits of employer's argument. It concluded that employer had not presented that argument to the agency and thus had not preserved it. Accordingly, we begin with the question whether employer preserved the issues </w:t>
      </w:r>
      <w:hyperlink r:id="rId15" w:anchor="p522" w:history="1">
        <w:r w:rsidRPr="00851945">
          <w:rPr>
            <w:rFonts w:ascii="Arial" w:eastAsia="Times New Roman" w:hAnsi="Arial" w:cs="Arial"/>
            <w:color w:val="AAAAAA"/>
            <w:sz w:val="20"/>
            <w:szCs w:val="20"/>
            <w:shd w:val="clear" w:color="auto" w:fill="FFFFFF"/>
          </w:rPr>
          <w:t>522</w:t>
        </w:r>
      </w:hyperlink>
      <w:hyperlink r:id="rId16" w:anchor="p522" w:history="1">
        <w:r w:rsidRPr="00851945">
          <w:rPr>
            <w:rFonts w:ascii="Arial" w:eastAsia="Times New Roman" w:hAnsi="Arial" w:cs="Arial"/>
            <w:color w:val="AAAAAA"/>
            <w:sz w:val="20"/>
            <w:szCs w:val="20"/>
          </w:rPr>
          <w:t>*522</w:t>
        </w:r>
      </w:hyperlink>
      <w:r w:rsidRPr="00851945">
        <w:rPr>
          <w:rFonts w:ascii="Arial" w:eastAsia="Times New Roman" w:hAnsi="Arial" w:cs="Arial"/>
          <w:color w:val="222222"/>
          <w:sz w:val="23"/>
          <w:szCs w:val="23"/>
        </w:rPr>
        <w:t xml:space="preserve"> before BOLI that it sought to raise in the Court of Appeals.</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Employer raised seven affirmative defenses in response to BOLI's complaint. The fifth affirmative defense alleged:</w:t>
      </w:r>
    </w:p>
    <w:p w:rsidR="00851945" w:rsidRPr="00851945" w:rsidRDefault="00851945" w:rsidP="00851945">
      <w:pPr>
        <w:shd w:val="clear" w:color="auto" w:fill="FFFFFF"/>
        <w:spacing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"Oregon law prescribes that ORS 659A.112 be construed to the extent possible in a manner that is consistent with any similar provisions of the Federal Americans with Disabilities Act </w:t>
      </w:r>
      <w:r w:rsidRPr="00851945">
        <w:rPr>
          <w:rFonts w:ascii="Arial" w:eastAsia="Times New Roman" w:hAnsi="Arial" w:cs="Arial"/>
          <w:color w:val="222222"/>
          <w:sz w:val="23"/>
          <w:szCs w:val="23"/>
        </w:rPr>
        <w:lastRenderedPageBreak/>
        <w:t xml:space="preserve">of 1990, as amended. That Act does not permit the use of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because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is an illegal drug under Federal Law."</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That affirmative defense is broad enough to encompass the argument that employer made in the Court of Appeals. To be sure, employer's fifth affirmative defense does not refer specifically to ORS 659A.124. However, it alleges that the ADA does not apply to persons who use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a proposition that necessarily depends on both 42 USC § 12114(a), the federal counterpart to ORS 659A.124, and the Controlled Substances Act. And the fifth affirmative defense also states that ORS 659A.112 should be construed in the same manner as the ADA. Although employer could have been more specific, its fifth affirmative defense is sufficient to raise the statutory issue that it sought to argue in the Court of Appeals.</w:t>
      </w:r>
      <w:bookmarkStart w:id="2" w:name="r[3]"/>
      <w:r w:rsidRPr="00851945">
        <w:rPr>
          <w:rFonts w:ascii="Arial" w:eastAsia="Times New Roman" w:hAnsi="Arial" w:cs="Arial"/>
          <w:color w:val="222222"/>
          <w:sz w:val="23"/>
          <w:szCs w:val="23"/>
          <w:vertAlign w:val="superscript"/>
        </w:rPr>
        <w:fldChar w:fldCharType="begin"/>
      </w:r>
      <w:r w:rsidRPr="00851945">
        <w:rPr>
          <w:rFonts w:ascii="Arial" w:eastAsia="Times New Roman" w:hAnsi="Arial" w:cs="Arial"/>
          <w:color w:val="222222"/>
          <w:sz w:val="23"/>
          <w:szCs w:val="23"/>
          <w:vertAlign w:val="superscript"/>
        </w:rPr>
        <w:instrText xml:space="preserve"> HYPERLINK "http://scholar.google.com/scholar_case?case=12394314758738904678&amp;q=emerald+marijuana&amp;hl=en&amp;as_sdt=4,38" \l "[3]" </w:instrText>
      </w:r>
      <w:r w:rsidRPr="00851945">
        <w:rPr>
          <w:rFonts w:ascii="Arial" w:eastAsia="Times New Roman" w:hAnsi="Arial" w:cs="Arial"/>
          <w:color w:val="222222"/>
          <w:sz w:val="23"/>
          <w:szCs w:val="23"/>
          <w:vertAlign w:val="superscript"/>
        </w:rPr>
        <w:fldChar w:fldCharType="separate"/>
      </w:r>
      <w:r w:rsidRPr="00851945">
        <w:rPr>
          <w:rFonts w:ascii="Arial" w:eastAsia="Times New Roman" w:hAnsi="Arial" w:cs="Arial"/>
          <w:color w:val="1A0DAB"/>
          <w:sz w:val="23"/>
          <w:szCs w:val="23"/>
          <w:u w:val="single"/>
          <w:vertAlign w:val="superscript"/>
        </w:rPr>
        <w:t>[3]</w:t>
      </w:r>
      <w:r w:rsidRPr="00851945">
        <w:rPr>
          <w:rFonts w:ascii="Arial" w:eastAsia="Times New Roman" w:hAnsi="Arial" w:cs="Arial"/>
          <w:color w:val="222222"/>
          <w:sz w:val="23"/>
          <w:szCs w:val="23"/>
          <w:vertAlign w:val="superscript"/>
        </w:rPr>
        <w:fldChar w:fldCharType="end"/>
      </w:r>
      <w:bookmarkEnd w:id="2"/>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Ordinarily, we would expect that employer would have developed the legal arguments in support of its fifth affirmative defense more fully at the agency hearing. However, the Court of Appeals issued its decision in </w:t>
      </w:r>
      <w:hyperlink r:id="rId17" w:history="1">
        <w:r w:rsidRPr="00851945">
          <w:rPr>
            <w:rFonts w:ascii="Arial" w:eastAsia="Times New Roman" w:hAnsi="Arial" w:cs="Arial"/>
            <w:i/>
            <w:iCs/>
            <w:color w:val="1A0DAB"/>
            <w:sz w:val="23"/>
            <w:szCs w:val="23"/>
            <w:u w:val="single"/>
          </w:rPr>
          <w:t>Washburn v. Columbia Forest Products, Inc.,</w:t>
        </w:r>
        <w:r w:rsidRPr="00851945">
          <w:rPr>
            <w:rFonts w:ascii="Arial" w:eastAsia="Times New Roman" w:hAnsi="Arial" w:cs="Arial"/>
            <w:color w:val="1A0DAB"/>
            <w:sz w:val="23"/>
            <w:szCs w:val="23"/>
            <w:u w:val="single"/>
          </w:rPr>
          <w:t xml:space="preserve"> 197 </w:t>
        </w:r>
        <w:proofErr w:type="spellStart"/>
        <w:r w:rsidRPr="00851945">
          <w:rPr>
            <w:rFonts w:ascii="Arial" w:eastAsia="Times New Roman" w:hAnsi="Arial" w:cs="Arial"/>
            <w:color w:val="1A0DAB"/>
            <w:sz w:val="23"/>
            <w:szCs w:val="23"/>
            <w:u w:val="single"/>
          </w:rPr>
          <w:t>Or.App</w:t>
        </w:r>
        <w:proofErr w:type="spellEnd"/>
        <w:r w:rsidRPr="00851945">
          <w:rPr>
            <w:rFonts w:ascii="Arial" w:eastAsia="Times New Roman" w:hAnsi="Arial" w:cs="Arial"/>
            <w:color w:val="1A0DAB"/>
            <w:sz w:val="23"/>
            <w:szCs w:val="23"/>
            <w:u w:val="single"/>
          </w:rPr>
          <w:t>. 104, 104 P.3d 609 (2005),</w:t>
        </w:r>
      </w:hyperlink>
      <w:r w:rsidRPr="00851945">
        <w:rPr>
          <w:rFonts w:ascii="Arial" w:eastAsia="Times New Roman" w:hAnsi="Arial" w:cs="Arial"/>
          <w:color w:val="222222"/>
          <w:sz w:val="23"/>
          <w:szCs w:val="23"/>
        </w:rPr>
        <w:t xml:space="preserve"> two weeks before the hearing in this case, and employer concluded that the reasoning in </w:t>
      </w:r>
      <w:r w:rsidRPr="00851945">
        <w:rPr>
          <w:rFonts w:ascii="Arial" w:eastAsia="Times New Roman" w:hAnsi="Arial" w:cs="Arial"/>
          <w:i/>
          <w:iCs/>
          <w:color w:val="222222"/>
          <w:sz w:val="23"/>
          <w:szCs w:val="23"/>
        </w:rPr>
        <w:t>Washburn</w:t>
      </w:r>
      <w:r w:rsidRPr="00851945">
        <w:rPr>
          <w:rFonts w:ascii="Arial" w:eastAsia="Times New Roman" w:hAnsi="Arial" w:cs="Arial"/>
          <w:color w:val="222222"/>
          <w:sz w:val="23"/>
          <w:szCs w:val="23"/>
        </w:rPr>
        <w:t xml:space="preserve"> foreclosed its fifth affirmative defense. The Court of Appeals held in </w:t>
      </w:r>
      <w:r w:rsidRPr="00851945">
        <w:rPr>
          <w:rFonts w:ascii="Arial" w:eastAsia="Times New Roman" w:hAnsi="Arial" w:cs="Arial"/>
          <w:i/>
          <w:iCs/>
          <w:color w:val="222222"/>
          <w:sz w:val="23"/>
          <w:szCs w:val="23"/>
        </w:rPr>
        <w:t>Washburn</w:t>
      </w:r>
      <w:r w:rsidRPr="00851945">
        <w:rPr>
          <w:rFonts w:ascii="Arial" w:eastAsia="Times New Roman" w:hAnsi="Arial" w:cs="Arial"/>
          <w:color w:val="222222"/>
          <w:sz w:val="23"/>
          <w:szCs w:val="23"/>
        </w:rPr>
        <w:t xml:space="preserve"> that an employer's failure to accommodate an employee's use of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violated ORS 659A.112. In reaching that holding, the Court of Appeals decided two propositions that bore on the validity of employer's fifth affirmative defense. First, it reasoned that the requirement in ORS 659A.139 to interpret ORS 659A.112 consistently with the ADA does not require absolute symmetry between state and federal law. </w:t>
      </w:r>
      <w:r w:rsidRPr="00851945">
        <w:rPr>
          <w:rFonts w:ascii="Arial" w:eastAsia="Times New Roman" w:hAnsi="Arial" w:cs="Arial"/>
          <w:i/>
          <w:iCs/>
          <w:color w:val="222222"/>
          <w:sz w:val="23"/>
          <w:szCs w:val="23"/>
        </w:rPr>
        <w:t>Id.</w:t>
      </w:r>
      <w:r w:rsidRPr="00851945">
        <w:rPr>
          <w:rFonts w:ascii="Arial" w:eastAsia="Times New Roman" w:hAnsi="Arial" w:cs="Arial"/>
          <w:color w:val="222222"/>
          <w:sz w:val="23"/>
          <w:szCs w:val="23"/>
        </w:rPr>
        <w:t xml:space="preserve"> at 109-10, </w:t>
      </w:r>
      <w:proofErr w:type="gramStart"/>
      <w:r w:rsidRPr="00851945">
        <w:rPr>
          <w:rFonts w:ascii="Arial" w:eastAsia="Times New Roman" w:hAnsi="Arial" w:cs="Arial"/>
          <w:color w:val="222222"/>
          <w:sz w:val="23"/>
          <w:szCs w:val="23"/>
        </w:rPr>
        <w:t>104 P.3d 609</w:t>
      </w:r>
      <w:proofErr w:type="gramEnd"/>
      <w:r w:rsidRPr="00851945">
        <w:rPr>
          <w:rFonts w:ascii="Arial" w:eastAsia="Times New Roman" w:hAnsi="Arial" w:cs="Arial"/>
          <w:color w:val="222222"/>
          <w:sz w:val="23"/>
          <w:szCs w:val="23"/>
        </w:rPr>
        <w:t xml:space="preserve">. Second, it held that, as a matter of state law, the employee's medical use of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was "not unlawful" for the purposes of a federal statute that prohibits the use of illegal drugs in the workplace. </w:t>
      </w:r>
      <w:r w:rsidRPr="00851945">
        <w:rPr>
          <w:rFonts w:ascii="Arial" w:eastAsia="Times New Roman" w:hAnsi="Arial" w:cs="Arial"/>
          <w:i/>
          <w:iCs/>
          <w:color w:val="222222"/>
          <w:sz w:val="23"/>
          <w:szCs w:val="23"/>
        </w:rPr>
        <w:t>Id.</w:t>
      </w:r>
      <w:r w:rsidRPr="00851945">
        <w:rPr>
          <w:rFonts w:ascii="Arial" w:eastAsia="Times New Roman" w:hAnsi="Arial" w:cs="Arial"/>
          <w:color w:val="222222"/>
          <w:sz w:val="23"/>
          <w:szCs w:val="23"/>
        </w:rPr>
        <w:t xml:space="preserve"> at 114-15, </w:t>
      </w:r>
      <w:proofErr w:type="gramStart"/>
      <w:r w:rsidRPr="00851945">
        <w:rPr>
          <w:rFonts w:ascii="Arial" w:eastAsia="Times New Roman" w:hAnsi="Arial" w:cs="Arial"/>
          <w:color w:val="222222"/>
          <w:sz w:val="23"/>
          <w:szCs w:val="23"/>
        </w:rPr>
        <w:t>104 P.3d 609</w:t>
      </w:r>
      <w:proofErr w:type="gramEnd"/>
      <w:r w:rsidRPr="00851945">
        <w:rPr>
          <w:rFonts w:ascii="Arial" w:eastAsia="Times New Roman" w:hAnsi="Arial" w:cs="Arial"/>
          <w:color w:val="222222"/>
          <w:sz w:val="23"/>
          <w:szCs w:val="23"/>
        </w:rPr>
        <w:t>. The court noted that the question "[w]</w:t>
      </w:r>
      <w:proofErr w:type="spellStart"/>
      <w:r w:rsidRPr="00851945">
        <w:rPr>
          <w:rFonts w:ascii="Arial" w:eastAsia="Times New Roman" w:hAnsi="Arial" w:cs="Arial"/>
          <w:color w:val="222222"/>
          <w:sz w:val="23"/>
          <w:szCs w:val="23"/>
        </w:rPr>
        <w:t>hether</w:t>
      </w:r>
      <w:proofErr w:type="spellEnd"/>
      <w:r w:rsidRPr="00851945">
        <w:rPr>
          <w:rFonts w:ascii="Arial" w:eastAsia="Times New Roman" w:hAnsi="Arial" w:cs="Arial"/>
          <w:color w:val="222222"/>
          <w:sz w:val="23"/>
          <w:szCs w:val="23"/>
        </w:rPr>
        <w:t xml:space="preserve"> medical use of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is unlawful under federal law is an open question" and that the United States Supreme Court had granted the government's petition for certiorari in </w:t>
      </w:r>
      <w:proofErr w:type="spellStart"/>
      <w:r w:rsidRPr="00851945">
        <w:rPr>
          <w:rFonts w:ascii="Arial" w:eastAsia="Times New Roman" w:hAnsi="Arial" w:cs="Arial"/>
          <w:i/>
          <w:iCs/>
          <w:color w:val="222222"/>
          <w:sz w:val="23"/>
          <w:szCs w:val="23"/>
        </w:rPr>
        <w:t>Raich</w:t>
      </w:r>
      <w:proofErr w:type="spellEnd"/>
      <w:r w:rsidRPr="00851945">
        <w:rPr>
          <w:rFonts w:ascii="Arial" w:eastAsia="Times New Roman" w:hAnsi="Arial" w:cs="Arial"/>
          <w:color w:val="222222"/>
          <w:sz w:val="23"/>
          <w:szCs w:val="23"/>
        </w:rPr>
        <w:t xml:space="preserve"> to decide that question. </w:t>
      </w:r>
      <w:proofErr w:type="gramStart"/>
      <w:r w:rsidRPr="00851945">
        <w:rPr>
          <w:rFonts w:ascii="Arial" w:eastAsia="Times New Roman" w:hAnsi="Arial" w:cs="Arial"/>
          <w:i/>
          <w:iCs/>
          <w:color w:val="222222"/>
          <w:sz w:val="23"/>
          <w:szCs w:val="23"/>
        </w:rPr>
        <w:t>Id.</w:t>
      </w:r>
      <w:r w:rsidRPr="00851945">
        <w:rPr>
          <w:rFonts w:ascii="Arial" w:eastAsia="Times New Roman" w:hAnsi="Arial" w:cs="Arial"/>
          <w:color w:val="222222"/>
          <w:sz w:val="23"/>
          <w:szCs w:val="23"/>
        </w:rPr>
        <w:t xml:space="preserve"> at 115 n. 8, 104 P.3d 609.</w:t>
      </w:r>
      <w:proofErr w:type="gramEnd"/>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At the hearing in this case, employer told the ALJ that five of its affirmative defenses (including the fifth affirmative defense) were "foreclosed by the </w:t>
      </w:r>
      <w:r w:rsidRPr="00851945">
        <w:rPr>
          <w:rFonts w:ascii="Arial" w:eastAsia="Times New Roman" w:hAnsi="Arial" w:cs="Arial"/>
          <w:i/>
          <w:iCs/>
          <w:color w:val="222222"/>
          <w:sz w:val="23"/>
          <w:szCs w:val="23"/>
        </w:rPr>
        <w:t>Washburn</w:t>
      </w:r>
      <w:r w:rsidRPr="00851945">
        <w:rPr>
          <w:rFonts w:ascii="Arial" w:eastAsia="Times New Roman" w:hAnsi="Arial" w:cs="Arial"/>
          <w:color w:val="222222"/>
          <w:sz w:val="23"/>
          <w:szCs w:val="23"/>
        </w:rPr>
        <w:t xml:space="preserve"> decision" but that it was "not withdrawing them." Employer did not explain the basis for that position. We note, however, that the Court of Appeals' conclusion in </w:t>
      </w:r>
      <w:r w:rsidRPr="00851945">
        <w:rPr>
          <w:rFonts w:ascii="Arial" w:eastAsia="Times New Roman" w:hAnsi="Arial" w:cs="Arial"/>
          <w:i/>
          <w:iCs/>
          <w:color w:val="222222"/>
          <w:sz w:val="23"/>
          <w:szCs w:val="23"/>
        </w:rPr>
        <w:t>Washburn</w:t>
      </w:r>
      <w:r w:rsidRPr="00851945">
        <w:rPr>
          <w:rFonts w:ascii="Arial" w:eastAsia="Times New Roman" w:hAnsi="Arial" w:cs="Arial"/>
          <w:color w:val="222222"/>
          <w:sz w:val="23"/>
          <w:szCs w:val="23"/>
        </w:rPr>
        <w:t xml:space="preserve"> that ORS 659A.139 does not require absolute symmetry between the state and federal antidiscrimination statutes and its conclusion that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use is "not unlawful" under state law effectively foreclosed reliance on ORS 659A.139 and ORS 659A.124 as a basis for employer's fifth affirmative defense. There would be little point in arguing before the ALJ that employee was currently engaged in the illegal use of drugs if, as the Court of Appeals had just stated in </w:t>
      </w:r>
      <w:r w:rsidRPr="00851945">
        <w:rPr>
          <w:rFonts w:ascii="Arial" w:eastAsia="Times New Roman" w:hAnsi="Arial" w:cs="Arial"/>
          <w:i/>
          <w:iCs/>
          <w:color w:val="222222"/>
          <w:sz w:val="23"/>
          <w:szCs w:val="23"/>
        </w:rPr>
        <w:t>Washburn,</w:t>
      </w:r>
      <w:r w:rsidRPr="00851945">
        <w:rPr>
          <w:rFonts w:ascii="Arial" w:eastAsia="Times New Roman" w:hAnsi="Arial" w:cs="Arial"/>
          <w:color w:val="222222"/>
          <w:sz w:val="23"/>
          <w:szCs w:val="23"/>
        </w:rPr>
        <w:t xml:space="preserve"> the use of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is not illegal.</w:t>
      </w:r>
      <w:bookmarkStart w:id="3" w:name="r[4]"/>
      <w:r w:rsidRPr="00851945">
        <w:rPr>
          <w:rFonts w:ascii="Arial" w:eastAsia="Times New Roman" w:hAnsi="Arial" w:cs="Arial"/>
          <w:color w:val="222222"/>
          <w:sz w:val="23"/>
          <w:szCs w:val="23"/>
          <w:vertAlign w:val="superscript"/>
        </w:rPr>
        <w:fldChar w:fldCharType="begin"/>
      </w:r>
      <w:r w:rsidRPr="00851945">
        <w:rPr>
          <w:rFonts w:ascii="Arial" w:eastAsia="Times New Roman" w:hAnsi="Arial" w:cs="Arial"/>
          <w:color w:val="222222"/>
          <w:sz w:val="23"/>
          <w:szCs w:val="23"/>
          <w:vertAlign w:val="superscript"/>
        </w:rPr>
        <w:instrText xml:space="preserve"> HYPERLINK "http://scholar.google.com/scholar_case?case=12394314758738904678&amp;q=emerald+marijuana&amp;hl=en&amp;as_sdt=4,38" \l "[4]" </w:instrText>
      </w:r>
      <w:r w:rsidRPr="00851945">
        <w:rPr>
          <w:rFonts w:ascii="Arial" w:eastAsia="Times New Roman" w:hAnsi="Arial" w:cs="Arial"/>
          <w:color w:val="222222"/>
          <w:sz w:val="23"/>
          <w:szCs w:val="23"/>
          <w:vertAlign w:val="superscript"/>
        </w:rPr>
        <w:fldChar w:fldCharType="separate"/>
      </w:r>
      <w:r w:rsidRPr="00851945">
        <w:rPr>
          <w:rFonts w:ascii="Arial" w:eastAsia="Times New Roman" w:hAnsi="Arial" w:cs="Arial"/>
          <w:color w:val="1A0DAB"/>
          <w:sz w:val="23"/>
          <w:szCs w:val="23"/>
          <w:u w:val="single"/>
          <w:vertAlign w:val="superscript"/>
        </w:rPr>
        <w:t>[4]</w:t>
      </w:r>
      <w:r w:rsidRPr="00851945">
        <w:rPr>
          <w:rFonts w:ascii="Arial" w:eastAsia="Times New Roman" w:hAnsi="Arial" w:cs="Arial"/>
          <w:color w:val="222222"/>
          <w:sz w:val="23"/>
          <w:szCs w:val="23"/>
          <w:vertAlign w:val="superscript"/>
        </w:rPr>
        <w:fldChar w:fldCharType="end"/>
      </w:r>
      <w:bookmarkEnd w:id="3"/>
      <w:r w:rsidRPr="00851945">
        <w:rPr>
          <w:rFonts w:ascii="Arial" w:eastAsia="Times New Roman" w:hAnsi="Arial" w:cs="Arial"/>
          <w:color w:val="222222"/>
          <w:sz w:val="23"/>
          <w:szCs w:val="23"/>
        </w:rPr>
        <w:t xml:space="preserve"> The ALJ issued a proposed order in which it ruled that the Court of Appeals decision in </w:t>
      </w:r>
      <w:r w:rsidRPr="00851945">
        <w:rPr>
          <w:rFonts w:ascii="Arial" w:eastAsia="Times New Roman" w:hAnsi="Arial" w:cs="Arial"/>
          <w:i/>
          <w:iCs/>
          <w:color w:val="222222"/>
          <w:sz w:val="23"/>
          <w:szCs w:val="23"/>
        </w:rPr>
        <w:t>Washburn</w:t>
      </w:r>
      <w:r w:rsidRPr="00851945">
        <w:rPr>
          <w:rFonts w:ascii="Arial" w:eastAsia="Times New Roman" w:hAnsi="Arial" w:cs="Arial"/>
          <w:color w:val="222222"/>
          <w:sz w:val="23"/>
          <w:szCs w:val="23"/>
        </w:rPr>
        <w:t xml:space="preserve"> controlled, among other things, employer's fifth affirmative defense.</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hyperlink r:id="rId18" w:anchor="p523" w:history="1">
        <w:r w:rsidRPr="00851945">
          <w:rPr>
            <w:rFonts w:ascii="Arial" w:eastAsia="Times New Roman" w:hAnsi="Arial" w:cs="Arial"/>
            <w:color w:val="AAAAAA"/>
            <w:sz w:val="20"/>
            <w:szCs w:val="20"/>
            <w:shd w:val="clear" w:color="auto" w:fill="FFFFFF"/>
          </w:rPr>
          <w:t>523</w:t>
        </w:r>
      </w:hyperlink>
      <w:hyperlink r:id="rId19" w:anchor="p523" w:history="1">
        <w:r w:rsidRPr="00851945">
          <w:rPr>
            <w:rFonts w:ascii="Arial" w:eastAsia="Times New Roman" w:hAnsi="Arial" w:cs="Arial"/>
            <w:color w:val="AAAAAA"/>
            <w:sz w:val="20"/>
            <w:szCs w:val="20"/>
          </w:rPr>
          <w:t>*523</w:t>
        </w:r>
      </w:hyperlink>
      <w:r w:rsidRPr="00851945">
        <w:rPr>
          <w:rFonts w:ascii="Arial" w:eastAsia="Times New Roman" w:hAnsi="Arial" w:cs="Arial"/>
          <w:color w:val="222222"/>
          <w:sz w:val="23"/>
          <w:szCs w:val="23"/>
        </w:rPr>
        <w:t xml:space="preserve"> After the ALJ filed his proposed order, the United States Supreme Court issued its decision in </w:t>
      </w:r>
      <w:proofErr w:type="spellStart"/>
      <w:r w:rsidRPr="00851945">
        <w:rPr>
          <w:rFonts w:ascii="Arial" w:eastAsia="Times New Roman" w:hAnsi="Arial" w:cs="Arial"/>
          <w:i/>
          <w:iCs/>
          <w:color w:val="222222"/>
          <w:sz w:val="23"/>
          <w:szCs w:val="23"/>
        </w:rPr>
        <w:t>Raich</w:t>
      </w:r>
      <w:proofErr w:type="spellEnd"/>
      <w:r w:rsidRPr="00851945">
        <w:rPr>
          <w:rFonts w:ascii="Arial" w:eastAsia="Times New Roman" w:hAnsi="Arial" w:cs="Arial"/>
          <w:color w:val="222222"/>
          <w:sz w:val="23"/>
          <w:szCs w:val="23"/>
        </w:rPr>
        <w:t xml:space="preserve"> and held that Congress had acted within its authority under the Commerce Clause in prohibiting the possession, manufacture, and distribution of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even when state law authorizes its use for medical purposes. </w:t>
      </w:r>
      <w:hyperlink r:id="rId20" w:history="1">
        <w:r w:rsidRPr="00851945">
          <w:rPr>
            <w:rFonts w:ascii="Arial" w:eastAsia="Times New Roman" w:hAnsi="Arial" w:cs="Arial"/>
            <w:color w:val="1A0DAB"/>
            <w:sz w:val="23"/>
            <w:szCs w:val="23"/>
            <w:u w:val="single"/>
          </w:rPr>
          <w:t xml:space="preserve">545 U.S. at 33, </w:t>
        </w:r>
        <w:r w:rsidRPr="00851945">
          <w:rPr>
            <w:rFonts w:ascii="Arial" w:eastAsia="Times New Roman" w:hAnsi="Arial" w:cs="Arial"/>
            <w:color w:val="1A0DAB"/>
            <w:sz w:val="23"/>
            <w:szCs w:val="23"/>
            <w:u w:val="single"/>
          </w:rPr>
          <w:lastRenderedPageBreak/>
          <w:t xml:space="preserve">125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2195</w:t>
        </w:r>
      </w:hyperlink>
      <w:r w:rsidRPr="00851945">
        <w:rPr>
          <w:rFonts w:ascii="Arial" w:eastAsia="Times New Roman" w:hAnsi="Arial" w:cs="Arial"/>
          <w:color w:val="222222"/>
          <w:sz w:val="23"/>
          <w:szCs w:val="23"/>
        </w:rPr>
        <w:t xml:space="preserve">. </w:t>
      </w:r>
      <w:proofErr w:type="spellStart"/>
      <w:r w:rsidRPr="00851945">
        <w:rPr>
          <w:rFonts w:ascii="Arial" w:eastAsia="Times New Roman" w:hAnsi="Arial" w:cs="Arial"/>
          <w:i/>
          <w:iCs/>
          <w:color w:val="222222"/>
          <w:sz w:val="23"/>
          <w:szCs w:val="23"/>
        </w:rPr>
        <w:t>Raich</w:t>
      </w:r>
      <w:proofErr w:type="spellEnd"/>
      <w:r w:rsidRPr="00851945">
        <w:rPr>
          <w:rFonts w:ascii="Arial" w:eastAsia="Times New Roman" w:hAnsi="Arial" w:cs="Arial"/>
          <w:color w:val="222222"/>
          <w:sz w:val="23"/>
          <w:szCs w:val="23"/>
        </w:rPr>
        <w:t xml:space="preserve"> addressed the question that the Court of Appeals had described in </w:t>
      </w:r>
      <w:r w:rsidRPr="00851945">
        <w:rPr>
          <w:rFonts w:ascii="Arial" w:eastAsia="Times New Roman" w:hAnsi="Arial" w:cs="Arial"/>
          <w:i/>
          <w:iCs/>
          <w:color w:val="222222"/>
          <w:sz w:val="23"/>
          <w:szCs w:val="23"/>
        </w:rPr>
        <w:t>Washburn</w:t>
      </w:r>
      <w:r w:rsidRPr="00851945">
        <w:rPr>
          <w:rFonts w:ascii="Arial" w:eastAsia="Times New Roman" w:hAnsi="Arial" w:cs="Arial"/>
          <w:color w:val="222222"/>
          <w:sz w:val="23"/>
          <w:szCs w:val="23"/>
        </w:rPr>
        <w:t xml:space="preserve"> as open—whether using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even for medical purposes, is unlawful under federal law. Employer filed a supplemental exception based on </w:t>
      </w:r>
      <w:proofErr w:type="spellStart"/>
      <w:r w:rsidRPr="00851945">
        <w:rPr>
          <w:rFonts w:ascii="Arial" w:eastAsia="Times New Roman" w:hAnsi="Arial" w:cs="Arial"/>
          <w:i/>
          <w:iCs/>
          <w:color w:val="222222"/>
          <w:sz w:val="23"/>
          <w:szCs w:val="23"/>
        </w:rPr>
        <w:t>Raich</w:t>
      </w:r>
      <w:proofErr w:type="spellEnd"/>
      <w:r w:rsidRPr="00851945">
        <w:rPr>
          <w:rFonts w:ascii="Arial" w:eastAsia="Times New Roman" w:hAnsi="Arial" w:cs="Arial"/>
          <w:color w:val="222222"/>
          <w:sz w:val="23"/>
          <w:szCs w:val="23"/>
        </w:rPr>
        <w:t xml:space="preserve"> and alternatively a request to reopen the record to consider </w:t>
      </w:r>
      <w:proofErr w:type="spellStart"/>
      <w:r w:rsidRPr="00851945">
        <w:rPr>
          <w:rFonts w:ascii="Arial" w:eastAsia="Times New Roman" w:hAnsi="Arial" w:cs="Arial"/>
          <w:i/>
          <w:iCs/>
          <w:color w:val="222222"/>
          <w:sz w:val="23"/>
          <w:szCs w:val="23"/>
        </w:rPr>
        <w:t>Raich</w:t>
      </w:r>
      <w:proofErr w:type="spellEnd"/>
      <w:r w:rsidRPr="00851945">
        <w:rPr>
          <w:rFonts w:ascii="Arial" w:eastAsia="Times New Roman" w:hAnsi="Arial" w:cs="Arial"/>
          <w:i/>
          <w:iCs/>
          <w:color w:val="222222"/>
          <w:sz w:val="23"/>
          <w:szCs w:val="23"/>
        </w:rPr>
        <w:t>.</w:t>
      </w:r>
      <w:r w:rsidRPr="00851945">
        <w:rPr>
          <w:rFonts w:ascii="Arial" w:eastAsia="Times New Roman" w:hAnsi="Arial" w:cs="Arial"/>
          <w:color w:val="222222"/>
          <w:sz w:val="23"/>
          <w:szCs w:val="23"/>
        </w:rPr>
        <w:t xml:space="preserve"> Employer argued that, as a result of </w:t>
      </w:r>
      <w:proofErr w:type="spellStart"/>
      <w:r w:rsidRPr="00851945">
        <w:rPr>
          <w:rFonts w:ascii="Arial" w:eastAsia="Times New Roman" w:hAnsi="Arial" w:cs="Arial"/>
          <w:i/>
          <w:iCs/>
          <w:color w:val="222222"/>
          <w:sz w:val="23"/>
          <w:szCs w:val="23"/>
        </w:rPr>
        <w:t>Raich</w:t>
      </w:r>
      <w:proofErr w:type="spellEnd"/>
      <w:r w:rsidRPr="00851945">
        <w:rPr>
          <w:rFonts w:ascii="Arial" w:eastAsia="Times New Roman" w:hAnsi="Arial" w:cs="Arial"/>
          <w:i/>
          <w:iCs/>
          <w:color w:val="222222"/>
          <w:sz w:val="23"/>
          <w:szCs w:val="23"/>
        </w:rPr>
        <w:t>,</w:t>
      </w:r>
      <w:r w:rsidRPr="00851945">
        <w:rPr>
          <w:rFonts w:ascii="Arial" w:eastAsia="Times New Roman" w:hAnsi="Arial" w:cs="Arial"/>
          <w:color w:val="222222"/>
          <w:sz w:val="23"/>
          <w:szCs w:val="23"/>
        </w:rPr>
        <w:t xml:space="preserve"> "states may not authorize the use of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for medicinal purposes" and that "[t]he impact of this decision is that [employer] should prevail on its Fourth and Fifth Affirmative Defenses."</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BOLI responded that the ALJ should not reopen the record. It reasoned that </w:t>
      </w:r>
      <w:proofErr w:type="spellStart"/>
      <w:r w:rsidRPr="00851945">
        <w:rPr>
          <w:rFonts w:ascii="Arial" w:eastAsia="Times New Roman" w:hAnsi="Arial" w:cs="Arial"/>
          <w:i/>
          <w:iCs/>
          <w:color w:val="222222"/>
          <w:sz w:val="23"/>
          <w:szCs w:val="23"/>
        </w:rPr>
        <w:t>Raich</w:t>
      </w:r>
      <w:proofErr w:type="spellEnd"/>
      <w:r w:rsidRPr="00851945">
        <w:rPr>
          <w:rFonts w:ascii="Arial" w:eastAsia="Times New Roman" w:hAnsi="Arial" w:cs="Arial"/>
          <w:color w:val="222222"/>
          <w:sz w:val="23"/>
          <w:szCs w:val="23"/>
        </w:rPr>
        <w:t xml:space="preserve"> did not invalidate Oregon's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law and that, in any event, employer could have raised a preemption argument before the Court issued its decision in </w:t>
      </w:r>
      <w:proofErr w:type="spellStart"/>
      <w:r w:rsidRPr="00851945">
        <w:rPr>
          <w:rFonts w:ascii="Arial" w:eastAsia="Times New Roman" w:hAnsi="Arial" w:cs="Arial"/>
          <w:i/>
          <w:iCs/>
          <w:color w:val="222222"/>
          <w:sz w:val="23"/>
          <w:szCs w:val="23"/>
        </w:rPr>
        <w:t>Raich</w:t>
      </w:r>
      <w:proofErr w:type="spellEnd"/>
      <w:r w:rsidRPr="00851945">
        <w:rPr>
          <w:rFonts w:ascii="Arial" w:eastAsia="Times New Roman" w:hAnsi="Arial" w:cs="Arial"/>
          <w:i/>
          <w:iCs/>
          <w:color w:val="222222"/>
          <w:sz w:val="23"/>
          <w:szCs w:val="23"/>
        </w:rPr>
        <w:t>.</w:t>
      </w:r>
      <w:r w:rsidRPr="00851945">
        <w:rPr>
          <w:rFonts w:ascii="Arial" w:eastAsia="Times New Roman" w:hAnsi="Arial" w:cs="Arial"/>
          <w:color w:val="222222"/>
          <w:sz w:val="23"/>
          <w:szCs w:val="23"/>
        </w:rPr>
        <w:t xml:space="preserve"> Employer replied that, as it read </w:t>
      </w:r>
      <w:proofErr w:type="spellStart"/>
      <w:r w:rsidRPr="00851945">
        <w:rPr>
          <w:rFonts w:ascii="Arial" w:eastAsia="Times New Roman" w:hAnsi="Arial" w:cs="Arial"/>
          <w:i/>
          <w:iCs/>
          <w:color w:val="222222"/>
          <w:sz w:val="23"/>
          <w:szCs w:val="23"/>
        </w:rPr>
        <w:t>Raich</w:t>
      </w:r>
      <w:proofErr w:type="spellEnd"/>
      <w:r w:rsidRPr="00851945">
        <w:rPr>
          <w:rFonts w:ascii="Arial" w:eastAsia="Times New Roman" w:hAnsi="Arial" w:cs="Arial"/>
          <w:i/>
          <w:iCs/>
          <w:color w:val="222222"/>
          <w:sz w:val="23"/>
          <w:szCs w:val="23"/>
        </w:rPr>
        <w:t>,</w:t>
      </w:r>
      <w:r w:rsidRPr="00851945">
        <w:rPr>
          <w:rFonts w:ascii="Arial" w:eastAsia="Times New Roman" w:hAnsi="Arial" w:cs="Arial"/>
          <w:color w:val="222222"/>
          <w:sz w:val="23"/>
          <w:szCs w:val="23"/>
        </w:rPr>
        <w:t xml:space="preserve"> the "Supreme Court has ruled that legalization of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is preempted by federal law. This obviously invalidates the Oregon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Act." Employer also explained that it had raised this issue in its fourth and fifth affirmative defenses, which "recite[d] that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is an illegal drug under federal law, and that state law deferred to federal law." After considering the parties' arguments, the ALJ allowed employer's motion to reopen the record, stating that "[t]he forum will consider the Supreme Court's ruling in </w:t>
      </w:r>
      <w:proofErr w:type="spellStart"/>
      <w:r w:rsidRPr="00851945">
        <w:rPr>
          <w:rFonts w:ascii="Arial" w:eastAsia="Times New Roman" w:hAnsi="Arial" w:cs="Arial"/>
          <w:i/>
          <w:iCs/>
          <w:color w:val="222222"/>
          <w:sz w:val="23"/>
          <w:szCs w:val="23"/>
        </w:rPr>
        <w:t>Raich</w:t>
      </w:r>
      <w:proofErr w:type="spellEnd"/>
      <w:r w:rsidRPr="00851945">
        <w:rPr>
          <w:rFonts w:ascii="Arial" w:eastAsia="Times New Roman" w:hAnsi="Arial" w:cs="Arial"/>
          <w:color w:val="222222"/>
          <w:sz w:val="23"/>
          <w:szCs w:val="23"/>
        </w:rPr>
        <w:t xml:space="preserve"> to the extent that it is relevant to [employer's] case." Later, the Commissioner ruled that the Controlled Substances Act, which was at issue in </w:t>
      </w:r>
      <w:proofErr w:type="spellStart"/>
      <w:r w:rsidRPr="00851945">
        <w:rPr>
          <w:rFonts w:ascii="Arial" w:eastAsia="Times New Roman" w:hAnsi="Arial" w:cs="Arial"/>
          <w:i/>
          <w:iCs/>
          <w:color w:val="222222"/>
          <w:sz w:val="23"/>
          <w:szCs w:val="23"/>
        </w:rPr>
        <w:t>Raich</w:t>
      </w:r>
      <w:proofErr w:type="spellEnd"/>
      <w:r w:rsidRPr="00851945">
        <w:rPr>
          <w:rFonts w:ascii="Arial" w:eastAsia="Times New Roman" w:hAnsi="Arial" w:cs="Arial"/>
          <w:i/>
          <w:iCs/>
          <w:color w:val="222222"/>
          <w:sz w:val="23"/>
          <w:szCs w:val="23"/>
        </w:rPr>
        <w:t>,</w:t>
      </w:r>
      <w:r w:rsidRPr="00851945">
        <w:rPr>
          <w:rFonts w:ascii="Arial" w:eastAsia="Times New Roman" w:hAnsi="Arial" w:cs="Arial"/>
          <w:color w:val="222222"/>
          <w:sz w:val="23"/>
          <w:szCs w:val="23"/>
        </w:rPr>
        <w:t xml:space="preserve"> did not preempt the Oregon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Act.</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As we read the record, employer took the position before the agency that, like the protections of the federal ADA, the protections of ORS 659A.112 do not apply to a person engaged in the use of illegal drugs, a phrase that, as a result of controlling federal law, includes the use of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We conclude that employer's arguments were sufficient to preserve the issue that it sought to raise on judicial review in the Court of Appeals. To be sure, employer's fifth affirmative defense, as pleaded, turned solely on a question of statutory interpretation. Employer did not raise the preemption issue or argue that federal law required a particular reading of Oregon's statutes until employer asked the ALJ to reopen the record to consider </w:t>
      </w:r>
      <w:proofErr w:type="spellStart"/>
      <w:r w:rsidRPr="00851945">
        <w:rPr>
          <w:rFonts w:ascii="Arial" w:eastAsia="Times New Roman" w:hAnsi="Arial" w:cs="Arial"/>
          <w:i/>
          <w:iCs/>
          <w:color w:val="222222"/>
          <w:sz w:val="23"/>
          <w:szCs w:val="23"/>
        </w:rPr>
        <w:t>Raich</w:t>
      </w:r>
      <w:proofErr w:type="spellEnd"/>
      <w:r w:rsidRPr="00851945">
        <w:rPr>
          <w:rFonts w:ascii="Arial" w:eastAsia="Times New Roman" w:hAnsi="Arial" w:cs="Arial"/>
          <w:i/>
          <w:iCs/>
          <w:color w:val="222222"/>
          <w:sz w:val="23"/>
          <w:szCs w:val="23"/>
        </w:rPr>
        <w:t>.</w:t>
      </w:r>
      <w:r w:rsidRPr="00851945">
        <w:rPr>
          <w:rFonts w:ascii="Arial" w:eastAsia="Times New Roman" w:hAnsi="Arial" w:cs="Arial"/>
          <w:color w:val="222222"/>
          <w:sz w:val="23"/>
          <w:szCs w:val="23"/>
        </w:rPr>
        <w:t xml:space="preserve"> Perhaps the ALJ could have declined to reopen the record. However, once the ALJ chose to reopen the record and the Commissioner chose to address employer's preemption arguments based on </w:t>
      </w:r>
      <w:proofErr w:type="spellStart"/>
      <w:r w:rsidRPr="00851945">
        <w:rPr>
          <w:rFonts w:ascii="Arial" w:eastAsia="Times New Roman" w:hAnsi="Arial" w:cs="Arial"/>
          <w:i/>
          <w:iCs/>
          <w:color w:val="222222"/>
          <w:sz w:val="23"/>
          <w:szCs w:val="23"/>
        </w:rPr>
        <w:t>Raich</w:t>
      </w:r>
      <w:proofErr w:type="spellEnd"/>
      <w:r w:rsidRPr="00851945">
        <w:rPr>
          <w:rFonts w:ascii="Arial" w:eastAsia="Times New Roman" w:hAnsi="Arial" w:cs="Arial"/>
          <w:i/>
          <w:iCs/>
          <w:color w:val="222222"/>
          <w:sz w:val="23"/>
          <w:szCs w:val="23"/>
        </w:rPr>
        <w:t>,</w:t>
      </w:r>
      <w:r w:rsidRPr="00851945">
        <w:rPr>
          <w:rFonts w:ascii="Arial" w:eastAsia="Times New Roman" w:hAnsi="Arial" w:cs="Arial"/>
          <w:color w:val="222222"/>
          <w:sz w:val="23"/>
          <w:szCs w:val="23"/>
        </w:rPr>
        <w:t xml:space="preserve"> then employer's federal preemption arguments were also properly before the agency.</w:t>
      </w:r>
      <w:bookmarkStart w:id="4" w:name="r[5]"/>
      <w:r w:rsidRPr="00851945">
        <w:rPr>
          <w:rFonts w:ascii="Arial" w:eastAsia="Times New Roman" w:hAnsi="Arial" w:cs="Arial"/>
          <w:color w:val="222222"/>
          <w:sz w:val="23"/>
          <w:szCs w:val="23"/>
          <w:vertAlign w:val="superscript"/>
        </w:rPr>
        <w:fldChar w:fldCharType="begin"/>
      </w:r>
      <w:r w:rsidRPr="00851945">
        <w:rPr>
          <w:rFonts w:ascii="Arial" w:eastAsia="Times New Roman" w:hAnsi="Arial" w:cs="Arial"/>
          <w:color w:val="222222"/>
          <w:sz w:val="23"/>
          <w:szCs w:val="23"/>
          <w:vertAlign w:val="superscript"/>
        </w:rPr>
        <w:instrText xml:space="preserve"> HYPERLINK "http://scholar.google.com/scholar_case?case=12394314758738904678&amp;q=emerald+marijuana&amp;hl=en&amp;as_sdt=4,38" \l "[5]" </w:instrText>
      </w:r>
      <w:r w:rsidRPr="00851945">
        <w:rPr>
          <w:rFonts w:ascii="Arial" w:eastAsia="Times New Roman" w:hAnsi="Arial" w:cs="Arial"/>
          <w:color w:val="222222"/>
          <w:sz w:val="23"/>
          <w:szCs w:val="23"/>
          <w:vertAlign w:val="superscript"/>
        </w:rPr>
        <w:fldChar w:fldCharType="separate"/>
      </w:r>
      <w:r w:rsidRPr="00851945">
        <w:rPr>
          <w:rFonts w:ascii="Arial" w:eastAsia="Times New Roman" w:hAnsi="Arial" w:cs="Arial"/>
          <w:color w:val="1A0DAB"/>
          <w:sz w:val="23"/>
          <w:szCs w:val="23"/>
          <w:u w:val="single"/>
          <w:vertAlign w:val="superscript"/>
        </w:rPr>
        <w:t>[5]</w:t>
      </w:r>
      <w:r w:rsidRPr="00851945">
        <w:rPr>
          <w:rFonts w:ascii="Arial" w:eastAsia="Times New Roman" w:hAnsi="Arial" w:cs="Arial"/>
          <w:color w:val="222222"/>
          <w:sz w:val="23"/>
          <w:szCs w:val="23"/>
          <w:vertAlign w:val="superscript"/>
        </w:rPr>
        <w:fldChar w:fldCharType="end"/>
      </w:r>
      <w:bookmarkEnd w:id="4"/>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As noted, the Court of Appeals reached a different conclusion regarding preservation, and we address its reasoning briefly. The Court of Appeals reasoned that, in telling the ALJ that </w:t>
      </w:r>
      <w:r w:rsidRPr="00851945">
        <w:rPr>
          <w:rFonts w:ascii="Arial" w:eastAsia="Times New Roman" w:hAnsi="Arial" w:cs="Arial"/>
          <w:i/>
          <w:iCs/>
          <w:color w:val="222222"/>
          <w:sz w:val="23"/>
          <w:szCs w:val="23"/>
        </w:rPr>
        <w:t>Washburn</w:t>
      </w:r>
      <w:r w:rsidRPr="00851945">
        <w:rPr>
          <w:rFonts w:ascii="Arial" w:eastAsia="Times New Roman" w:hAnsi="Arial" w:cs="Arial"/>
          <w:color w:val="222222"/>
          <w:sz w:val="23"/>
          <w:szCs w:val="23"/>
        </w:rPr>
        <w:t xml:space="preserve"> foreclosed its affirmative defenses, employer adopted the specific defenses that the employer in </w:t>
      </w:r>
      <w:r w:rsidRPr="00851945">
        <w:rPr>
          <w:rFonts w:ascii="Arial" w:eastAsia="Times New Roman" w:hAnsi="Arial" w:cs="Arial"/>
          <w:i/>
          <w:iCs/>
          <w:color w:val="222222"/>
          <w:sz w:val="23"/>
          <w:szCs w:val="23"/>
        </w:rPr>
        <w:t>Washburn</w:t>
      </w:r>
      <w:r w:rsidRPr="00851945">
        <w:rPr>
          <w:rFonts w:ascii="Arial" w:eastAsia="Times New Roman" w:hAnsi="Arial" w:cs="Arial"/>
          <w:color w:val="222222"/>
          <w:sz w:val="23"/>
          <w:szCs w:val="23"/>
        </w:rPr>
        <w:t xml:space="preserve"> had asserted and that employer was now limited to those defenses. </w:t>
      </w:r>
      <w:hyperlink r:id="rId21" w:history="1">
        <w:proofErr w:type="gramStart"/>
        <w:r w:rsidRPr="00851945">
          <w:rPr>
            <w:rFonts w:ascii="Arial" w:eastAsia="Times New Roman" w:hAnsi="Arial" w:cs="Arial"/>
            <w:color w:val="1A0DAB"/>
            <w:sz w:val="23"/>
            <w:szCs w:val="23"/>
            <w:u w:val="single"/>
          </w:rPr>
          <w:t xml:space="preserve">220 </w:t>
        </w:r>
        <w:proofErr w:type="spellStart"/>
        <w:r w:rsidRPr="00851945">
          <w:rPr>
            <w:rFonts w:ascii="Arial" w:eastAsia="Times New Roman" w:hAnsi="Arial" w:cs="Arial"/>
            <w:color w:val="1A0DAB"/>
            <w:sz w:val="23"/>
            <w:szCs w:val="23"/>
            <w:u w:val="single"/>
          </w:rPr>
          <w:t>Or.App</w:t>
        </w:r>
        <w:proofErr w:type="spellEnd"/>
        <w:r w:rsidRPr="00851945">
          <w:rPr>
            <w:rFonts w:ascii="Arial" w:eastAsia="Times New Roman" w:hAnsi="Arial" w:cs="Arial"/>
            <w:color w:val="1A0DAB"/>
            <w:sz w:val="23"/>
            <w:szCs w:val="23"/>
            <w:u w:val="single"/>
          </w:rPr>
          <w:t>.</w:t>
        </w:r>
        <w:proofErr w:type="gramEnd"/>
        <w:r w:rsidRPr="00851945">
          <w:rPr>
            <w:rFonts w:ascii="Arial" w:eastAsia="Times New Roman" w:hAnsi="Arial" w:cs="Arial"/>
            <w:color w:val="1A0DAB"/>
            <w:sz w:val="23"/>
            <w:szCs w:val="23"/>
            <w:u w:val="single"/>
          </w:rPr>
          <w:t xml:space="preserve"> </w:t>
        </w:r>
        <w:proofErr w:type="gramStart"/>
        <w:r w:rsidRPr="00851945">
          <w:rPr>
            <w:rFonts w:ascii="Arial" w:eastAsia="Times New Roman" w:hAnsi="Arial" w:cs="Arial"/>
            <w:color w:val="1A0DAB"/>
            <w:sz w:val="23"/>
            <w:szCs w:val="23"/>
            <w:u w:val="single"/>
          </w:rPr>
          <w:t>at</w:t>
        </w:r>
        <w:proofErr w:type="gramEnd"/>
        <w:r w:rsidRPr="00851945">
          <w:rPr>
            <w:rFonts w:ascii="Arial" w:eastAsia="Times New Roman" w:hAnsi="Arial" w:cs="Arial"/>
            <w:color w:val="1A0DAB"/>
            <w:sz w:val="23"/>
            <w:szCs w:val="23"/>
            <w:u w:val="single"/>
          </w:rPr>
          <w:t xml:space="preserve"> 437, 186 P.3d 300</w:t>
        </w:r>
      </w:hyperlink>
      <w:r w:rsidRPr="00851945">
        <w:rPr>
          <w:rFonts w:ascii="Arial" w:eastAsia="Times New Roman" w:hAnsi="Arial" w:cs="Arial"/>
          <w:color w:val="222222"/>
          <w:sz w:val="23"/>
          <w:szCs w:val="23"/>
        </w:rPr>
        <w:t xml:space="preserve">. The difficulty, the Court of Appeals explained, was that the statutory issues that employer had raised in its affirmative defenses and sought to raise on judicial review differed from the issues that the employer had raised in </w:t>
      </w:r>
      <w:r w:rsidRPr="00851945">
        <w:rPr>
          <w:rFonts w:ascii="Arial" w:eastAsia="Times New Roman" w:hAnsi="Arial" w:cs="Arial"/>
          <w:i/>
          <w:iCs/>
          <w:color w:val="222222"/>
          <w:sz w:val="23"/>
          <w:szCs w:val="23"/>
        </w:rPr>
        <w:t>Washburn. Id.</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In our view, the Court of Appeals misperceived the import of what employer told the ALJ. Employer reasonably acknowledged that the reasoning in </w:t>
      </w:r>
      <w:r w:rsidRPr="00851945">
        <w:rPr>
          <w:rFonts w:ascii="Arial" w:eastAsia="Times New Roman" w:hAnsi="Arial" w:cs="Arial"/>
          <w:i/>
          <w:iCs/>
          <w:color w:val="222222"/>
          <w:sz w:val="23"/>
          <w:szCs w:val="23"/>
        </w:rPr>
        <w:t>Washburn</w:t>
      </w:r>
      <w:r w:rsidRPr="00851945">
        <w:rPr>
          <w:rFonts w:ascii="Arial" w:eastAsia="Times New Roman" w:hAnsi="Arial" w:cs="Arial"/>
          <w:color w:val="222222"/>
          <w:sz w:val="23"/>
          <w:szCs w:val="23"/>
        </w:rPr>
        <w:t xml:space="preserve"> controlled the related but separate defenses that it was </w:t>
      </w:r>
      <w:hyperlink r:id="rId22" w:anchor="p524" w:history="1">
        <w:r w:rsidRPr="00851945">
          <w:rPr>
            <w:rFonts w:ascii="Arial" w:eastAsia="Times New Roman" w:hAnsi="Arial" w:cs="Arial"/>
            <w:color w:val="AAAAAA"/>
            <w:sz w:val="20"/>
            <w:szCs w:val="20"/>
            <w:shd w:val="clear" w:color="auto" w:fill="FFFFFF"/>
          </w:rPr>
          <w:t>524</w:t>
        </w:r>
      </w:hyperlink>
      <w:hyperlink r:id="rId23" w:anchor="p524" w:history="1">
        <w:r w:rsidRPr="00851945">
          <w:rPr>
            <w:rFonts w:ascii="Arial" w:eastAsia="Times New Roman" w:hAnsi="Arial" w:cs="Arial"/>
            <w:color w:val="AAAAAA"/>
            <w:sz w:val="20"/>
            <w:szCs w:val="20"/>
          </w:rPr>
          <w:t>*524</w:t>
        </w:r>
      </w:hyperlink>
      <w:r w:rsidRPr="00851945">
        <w:rPr>
          <w:rFonts w:ascii="Arial" w:eastAsia="Times New Roman" w:hAnsi="Arial" w:cs="Arial"/>
          <w:color w:val="222222"/>
          <w:sz w:val="23"/>
          <w:szCs w:val="23"/>
        </w:rPr>
        <w:t xml:space="preserve"> </w:t>
      </w:r>
      <w:proofErr w:type="gramStart"/>
      <w:r w:rsidRPr="00851945">
        <w:rPr>
          <w:rFonts w:ascii="Arial" w:eastAsia="Times New Roman" w:hAnsi="Arial" w:cs="Arial"/>
          <w:color w:val="222222"/>
          <w:sz w:val="23"/>
          <w:szCs w:val="23"/>
        </w:rPr>
        <w:t>raising</w:t>
      </w:r>
      <w:proofErr w:type="gramEnd"/>
      <w:r w:rsidRPr="00851945">
        <w:rPr>
          <w:rFonts w:ascii="Arial" w:eastAsia="Times New Roman" w:hAnsi="Arial" w:cs="Arial"/>
          <w:color w:val="222222"/>
          <w:sz w:val="23"/>
          <w:szCs w:val="23"/>
        </w:rPr>
        <w:t xml:space="preserve"> in this case. Employer did not say that it was advancing the same issues that the employer had asserted in </w:t>
      </w:r>
      <w:r w:rsidRPr="00851945">
        <w:rPr>
          <w:rFonts w:ascii="Arial" w:eastAsia="Times New Roman" w:hAnsi="Arial" w:cs="Arial"/>
          <w:i/>
          <w:iCs/>
          <w:color w:val="222222"/>
          <w:sz w:val="23"/>
          <w:szCs w:val="23"/>
        </w:rPr>
        <w:t>Washburn,</w:t>
      </w:r>
      <w:r w:rsidRPr="00851945">
        <w:rPr>
          <w:rFonts w:ascii="Arial" w:eastAsia="Times New Roman" w:hAnsi="Arial" w:cs="Arial"/>
          <w:color w:val="222222"/>
          <w:sz w:val="23"/>
          <w:szCs w:val="23"/>
        </w:rPr>
        <w:t xml:space="preserve"> and the Court of Appeals erred in holding otherwise.</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lastRenderedPageBreak/>
        <w:t xml:space="preserve">The Court of Appeals also concluded that employer had not preserved its argument regarding the preemptive effect of the Controlled Substances Act, as interpreted in </w:t>
      </w:r>
      <w:proofErr w:type="spellStart"/>
      <w:r w:rsidRPr="00851945">
        <w:rPr>
          <w:rFonts w:ascii="Arial" w:eastAsia="Times New Roman" w:hAnsi="Arial" w:cs="Arial"/>
          <w:i/>
          <w:iCs/>
          <w:color w:val="222222"/>
          <w:sz w:val="23"/>
          <w:szCs w:val="23"/>
        </w:rPr>
        <w:t>Raich</w:t>
      </w:r>
      <w:proofErr w:type="spellEnd"/>
      <w:r w:rsidRPr="00851945">
        <w:rPr>
          <w:rFonts w:ascii="Arial" w:eastAsia="Times New Roman" w:hAnsi="Arial" w:cs="Arial"/>
          <w:i/>
          <w:iCs/>
          <w:color w:val="222222"/>
          <w:sz w:val="23"/>
          <w:szCs w:val="23"/>
        </w:rPr>
        <w:t xml:space="preserve">. </w:t>
      </w:r>
      <w:hyperlink r:id="rId24" w:history="1">
        <w:r w:rsidRPr="00851945">
          <w:rPr>
            <w:rFonts w:ascii="Arial" w:eastAsia="Times New Roman" w:hAnsi="Arial" w:cs="Arial"/>
            <w:b/>
            <w:bCs/>
            <w:i/>
            <w:iCs/>
            <w:color w:val="000000"/>
            <w:sz w:val="23"/>
            <w:szCs w:val="23"/>
            <w:u w:val="single"/>
            <w:shd w:val="clear" w:color="auto" w:fill="FFFFCC"/>
          </w:rPr>
          <w:t>Emerald</w:t>
        </w:r>
        <w:r w:rsidRPr="00851945">
          <w:rPr>
            <w:rFonts w:ascii="Arial" w:eastAsia="Times New Roman" w:hAnsi="Arial" w:cs="Arial"/>
            <w:i/>
            <w:iCs/>
            <w:color w:val="1A0DAB"/>
            <w:sz w:val="23"/>
            <w:szCs w:val="23"/>
            <w:u w:val="single"/>
          </w:rPr>
          <w:t xml:space="preserve"> Steel,</w:t>
        </w:r>
        <w:r w:rsidRPr="00851945">
          <w:rPr>
            <w:rFonts w:ascii="Arial" w:eastAsia="Times New Roman" w:hAnsi="Arial" w:cs="Arial"/>
            <w:color w:val="1A0DAB"/>
            <w:sz w:val="23"/>
            <w:szCs w:val="23"/>
            <w:u w:val="single"/>
          </w:rPr>
          <w:t xml:space="preserve"> </w:t>
        </w:r>
        <w:proofErr w:type="gramStart"/>
        <w:r w:rsidRPr="00851945">
          <w:rPr>
            <w:rFonts w:ascii="Arial" w:eastAsia="Times New Roman" w:hAnsi="Arial" w:cs="Arial"/>
            <w:color w:val="1A0DAB"/>
            <w:sz w:val="23"/>
            <w:szCs w:val="23"/>
            <w:u w:val="single"/>
          </w:rPr>
          <w:t xml:space="preserve">220 </w:t>
        </w:r>
        <w:proofErr w:type="spellStart"/>
        <w:r w:rsidRPr="00851945">
          <w:rPr>
            <w:rFonts w:ascii="Arial" w:eastAsia="Times New Roman" w:hAnsi="Arial" w:cs="Arial"/>
            <w:color w:val="1A0DAB"/>
            <w:sz w:val="23"/>
            <w:szCs w:val="23"/>
            <w:u w:val="single"/>
          </w:rPr>
          <w:t>Or.App</w:t>
        </w:r>
        <w:proofErr w:type="spellEnd"/>
        <w:proofErr w:type="gramEnd"/>
        <w:r w:rsidRPr="00851945">
          <w:rPr>
            <w:rFonts w:ascii="Arial" w:eastAsia="Times New Roman" w:hAnsi="Arial" w:cs="Arial"/>
            <w:color w:val="1A0DAB"/>
            <w:sz w:val="23"/>
            <w:szCs w:val="23"/>
            <w:u w:val="single"/>
          </w:rPr>
          <w:t xml:space="preserve">. </w:t>
        </w:r>
        <w:proofErr w:type="gramStart"/>
        <w:r w:rsidRPr="00851945">
          <w:rPr>
            <w:rFonts w:ascii="Arial" w:eastAsia="Times New Roman" w:hAnsi="Arial" w:cs="Arial"/>
            <w:color w:val="1A0DAB"/>
            <w:sz w:val="23"/>
            <w:szCs w:val="23"/>
            <w:u w:val="single"/>
          </w:rPr>
          <w:t>at</w:t>
        </w:r>
        <w:proofErr w:type="gramEnd"/>
        <w:r w:rsidRPr="00851945">
          <w:rPr>
            <w:rFonts w:ascii="Arial" w:eastAsia="Times New Roman" w:hAnsi="Arial" w:cs="Arial"/>
            <w:color w:val="1A0DAB"/>
            <w:sz w:val="23"/>
            <w:szCs w:val="23"/>
            <w:u w:val="single"/>
          </w:rPr>
          <w:t xml:space="preserve"> 437-38, 186 P.3d 300</w:t>
        </w:r>
      </w:hyperlink>
      <w:r w:rsidRPr="00851945">
        <w:rPr>
          <w:rFonts w:ascii="Arial" w:eastAsia="Times New Roman" w:hAnsi="Arial" w:cs="Arial"/>
          <w:color w:val="222222"/>
          <w:sz w:val="23"/>
          <w:szCs w:val="23"/>
        </w:rPr>
        <w:t xml:space="preserve">. It noted that, on judicial review, employer argued that federal law required its interpretation of Oregon's antidiscrimination statutes while it had argued before the agency that federal law preempted the Oregon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Act. </w:t>
      </w:r>
      <w:r w:rsidRPr="00851945">
        <w:rPr>
          <w:rFonts w:ascii="Arial" w:eastAsia="Times New Roman" w:hAnsi="Arial" w:cs="Arial"/>
          <w:i/>
          <w:iCs/>
          <w:color w:val="222222"/>
          <w:sz w:val="23"/>
          <w:szCs w:val="23"/>
        </w:rPr>
        <w:t>Id.</w:t>
      </w:r>
      <w:r w:rsidRPr="00851945">
        <w:rPr>
          <w:rFonts w:ascii="Arial" w:eastAsia="Times New Roman" w:hAnsi="Arial" w:cs="Arial"/>
          <w:color w:val="222222"/>
          <w:sz w:val="23"/>
          <w:szCs w:val="23"/>
        </w:rPr>
        <w:t xml:space="preserve"> We read the record differently. As explained above, employer made both arguments before the agency.</w:t>
      </w:r>
      <w:bookmarkStart w:id="5" w:name="r[6]"/>
      <w:r w:rsidRPr="00851945">
        <w:rPr>
          <w:rFonts w:ascii="Arial" w:eastAsia="Times New Roman" w:hAnsi="Arial" w:cs="Arial"/>
          <w:color w:val="222222"/>
          <w:sz w:val="23"/>
          <w:szCs w:val="23"/>
          <w:vertAlign w:val="superscript"/>
        </w:rPr>
        <w:fldChar w:fldCharType="begin"/>
      </w:r>
      <w:r w:rsidRPr="00851945">
        <w:rPr>
          <w:rFonts w:ascii="Arial" w:eastAsia="Times New Roman" w:hAnsi="Arial" w:cs="Arial"/>
          <w:color w:val="222222"/>
          <w:sz w:val="23"/>
          <w:szCs w:val="23"/>
          <w:vertAlign w:val="superscript"/>
        </w:rPr>
        <w:instrText xml:space="preserve"> HYPERLINK "http://scholar.google.com/scholar_case?case=12394314758738904678&amp;q=emerald+marijuana&amp;hl=en&amp;as_sdt=4,38" \l "[6]" </w:instrText>
      </w:r>
      <w:r w:rsidRPr="00851945">
        <w:rPr>
          <w:rFonts w:ascii="Arial" w:eastAsia="Times New Roman" w:hAnsi="Arial" w:cs="Arial"/>
          <w:color w:val="222222"/>
          <w:sz w:val="23"/>
          <w:szCs w:val="23"/>
          <w:vertAlign w:val="superscript"/>
        </w:rPr>
        <w:fldChar w:fldCharType="separate"/>
      </w:r>
      <w:r w:rsidRPr="00851945">
        <w:rPr>
          <w:rFonts w:ascii="Arial" w:eastAsia="Times New Roman" w:hAnsi="Arial" w:cs="Arial"/>
          <w:color w:val="1A0DAB"/>
          <w:sz w:val="23"/>
          <w:szCs w:val="23"/>
          <w:u w:val="single"/>
          <w:vertAlign w:val="superscript"/>
        </w:rPr>
        <w:t>[6]</w:t>
      </w:r>
      <w:r w:rsidRPr="00851945">
        <w:rPr>
          <w:rFonts w:ascii="Arial" w:eastAsia="Times New Roman" w:hAnsi="Arial" w:cs="Arial"/>
          <w:color w:val="222222"/>
          <w:sz w:val="23"/>
          <w:szCs w:val="23"/>
          <w:vertAlign w:val="superscript"/>
        </w:rPr>
        <w:fldChar w:fldCharType="end"/>
      </w:r>
      <w:bookmarkEnd w:id="5"/>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Having concluded that employer preserved the issues it sought to raise on judicial review, we turn to the merits of those issues.</w:t>
      </w:r>
      <w:bookmarkStart w:id="6" w:name="r[7]"/>
      <w:r w:rsidRPr="00851945">
        <w:rPr>
          <w:rFonts w:ascii="Arial" w:eastAsia="Times New Roman" w:hAnsi="Arial" w:cs="Arial"/>
          <w:color w:val="222222"/>
          <w:sz w:val="23"/>
          <w:szCs w:val="23"/>
          <w:vertAlign w:val="superscript"/>
        </w:rPr>
        <w:fldChar w:fldCharType="begin"/>
      </w:r>
      <w:r w:rsidRPr="00851945">
        <w:rPr>
          <w:rFonts w:ascii="Arial" w:eastAsia="Times New Roman" w:hAnsi="Arial" w:cs="Arial"/>
          <w:color w:val="222222"/>
          <w:sz w:val="23"/>
          <w:szCs w:val="23"/>
          <w:vertAlign w:val="superscript"/>
        </w:rPr>
        <w:instrText xml:space="preserve"> HYPERLINK "http://scholar.google.com/scholar_case?case=12394314758738904678&amp;q=emerald+marijuana&amp;hl=en&amp;as_sdt=4,38" \l "[7]" </w:instrText>
      </w:r>
      <w:r w:rsidRPr="00851945">
        <w:rPr>
          <w:rFonts w:ascii="Arial" w:eastAsia="Times New Roman" w:hAnsi="Arial" w:cs="Arial"/>
          <w:color w:val="222222"/>
          <w:sz w:val="23"/>
          <w:szCs w:val="23"/>
          <w:vertAlign w:val="superscript"/>
        </w:rPr>
        <w:fldChar w:fldCharType="separate"/>
      </w:r>
      <w:r w:rsidRPr="00851945">
        <w:rPr>
          <w:rFonts w:ascii="Arial" w:eastAsia="Times New Roman" w:hAnsi="Arial" w:cs="Arial"/>
          <w:color w:val="1A0DAB"/>
          <w:sz w:val="23"/>
          <w:szCs w:val="23"/>
          <w:u w:val="single"/>
          <w:vertAlign w:val="superscript"/>
        </w:rPr>
        <w:t>[7]</w:t>
      </w:r>
      <w:r w:rsidRPr="00851945">
        <w:rPr>
          <w:rFonts w:ascii="Arial" w:eastAsia="Times New Roman" w:hAnsi="Arial" w:cs="Arial"/>
          <w:color w:val="222222"/>
          <w:sz w:val="23"/>
          <w:szCs w:val="23"/>
          <w:vertAlign w:val="superscript"/>
        </w:rPr>
        <w:fldChar w:fldCharType="end"/>
      </w:r>
      <w:bookmarkEnd w:id="6"/>
      <w:r w:rsidRPr="00851945">
        <w:rPr>
          <w:rFonts w:ascii="Arial" w:eastAsia="Times New Roman" w:hAnsi="Arial" w:cs="Arial"/>
          <w:color w:val="222222"/>
          <w:sz w:val="23"/>
          <w:szCs w:val="23"/>
        </w:rPr>
        <w:t xml:space="preserve"> Employer's statutory argument begins with ORS </w:t>
      </w:r>
      <w:proofErr w:type="gramStart"/>
      <w:r w:rsidRPr="00851945">
        <w:rPr>
          <w:rFonts w:ascii="Arial" w:eastAsia="Times New Roman" w:hAnsi="Arial" w:cs="Arial"/>
          <w:color w:val="222222"/>
          <w:sz w:val="23"/>
          <w:szCs w:val="23"/>
        </w:rPr>
        <w:t>659A.124(</w:t>
      </w:r>
      <w:proofErr w:type="gramEnd"/>
      <w:r w:rsidRPr="00851945">
        <w:rPr>
          <w:rFonts w:ascii="Arial" w:eastAsia="Times New Roman" w:hAnsi="Arial" w:cs="Arial"/>
          <w:color w:val="222222"/>
          <w:sz w:val="23"/>
          <w:szCs w:val="23"/>
        </w:rPr>
        <w:t>1), which provides that "the protections of ORS 659A.112 do not apply to any * * * employee who is currently engaging in the illegal use of drugs if the employer takes action based on that conduct."</w:t>
      </w:r>
      <w:bookmarkStart w:id="7" w:name="r[8]"/>
      <w:r w:rsidRPr="00851945">
        <w:rPr>
          <w:rFonts w:ascii="Arial" w:eastAsia="Times New Roman" w:hAnsi="Arial" w:cs="Arial"/>
          <w:color w:val="222222"/>
          <w:sz w:val="23"/>
          <w:szCs w:val="23"/>
          <w:vertAlign w:val="superscript"/>
        </w:rPr>
        <w:fldChar w:fldCharType="begin"/>
      </w:r>
      <w:r w:rsidRPr="00851945">
        <w:rPr>
          <w:rFonts w:ascii="Arial" w:eastAsia="Times New Roman" w:hAnsi="Arial" w:cs="Arial"/>
          <w:color w:val="222222"/>
          <w:sz w:val="23"/>
          <w:szCs w:val="23"/>
          <w:vertAlign w:val="superscript"/>
        </w:rPr>
        <w:instrText xml:space="preserve"> HYPERLINK "http://scholar.google.com/scholar_case?case=12394314758738904678&amp;q=emerald+marijuana&amp;hl=en&amp;as_sdt=4,38" \l "[8]" </w:instrText>
      </w:r>
      <w:r w:rsidRPr="00851945">
        <w:rPr>
          <w:rFonts w:ascii="Arial" w:eastAsia="Times New Roman" w:hAnsi="Arial" w:cs="Arial"/>
          <w:color w:val="222222"/>
          <w:sz w:val="23"/>
          <w:szCs w:val="23"/>
          <w:vertAlign w:val="superscript"/>
        </w:rPr>
        <w:fldChar w:fldCharType="separate"/>
      </w:r>
      <w:r w:rsidRPr="00851945">
        <w:rPr>
          <w:rFonts w:ascii="Arial" w:eastAsia="Times New Roman" w:hAnsi="Arial" w:cs="Arial"/>
          <w:color w:val="1A0DAB"/>
          <w:sz w:val="23"/>
          <w:szCs w:val="23"/>
          <w:u w:val="single"/>
          <w:vertAlign w:val="superscript"/>
        </w:rPr>
        <w:t>[8]</w:t>
      </w:r>
      <w:r w:rsidRPr="00851945">
        <w:rPr>
          <w:rFonts w:ascii="Arial" w:eastAsia="Times New Roman" w:hAnsi="Arial" w:cs="Arial"/>
          <w:color w:val="222222"/>
          <w:sz w:val="23"/>
          <w:szCs w:val="23"/>
          <w:vertAlign w:val="superscript"/>
        </w:rPr>
        <w:fldChar w:fldCharType="end"/>
      </w:r>
      <w:bookmarkEnd w:id="7"/>
      <w:r w:rsidRPr="00851945">
        <w:rPr>
          <w:rFonts w:ascii="Arial" w:eastAsia="Times New Roman" w:hAnsi="Arial" w:cs="Arial"/>
          <w:color w:val="222222"/>
          <w:sz w:val="23"/>
          <w:szCs w:val="23"/>
        </w:rPr>
        <w:t xml:space="preserve"> It follows, employer reasons, that it had no obligation under ORS </w:t>
      </w:r>
      <w:proofErr w:type="gramStart"/>
      <w:r w:rsidRPr="00851945">
        <w:rPr>
          <w:rFonts w:ascii="Arial" w:eastAsia="Times New Roman" w:hAnsi="Arial" w:cs="Arial"/>
          <w:color w:val="222222"/>
          <w:sz w:val="23"/>
          <w:szCs w:val="23"/>
        </w:rPr>
        <w:t>659A.112(</w:t>
      </w:r>
      <w:proofErr w:type="gramEnd"/>
      <w:r w:rsidRPr="00851945">
        <w:rPr>
          <w:rFonts w:ascii="Arial" w:eastAsia="Times New Roman" w:hAnsi="Arial" w:cs="Arial"/>
          <w:color w:val="222222"/>
          <w:sz w:val="23"/>
          <w:szCs w:val="23"/>
        </w:rPr>
        <w:t xml:space="preserve">2)(e) and (f) to reasonably accommodate employee's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use. In responding to that argument on the merits, BOLI does not dispute that employee was currently engaged in the use of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nor does it dispute that employer discharged employee for that reason. Rather, BOLI advances two arguments why ORS 659A.124 does not support employer's position.</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As we understand BOLI's first argument, it contends that, because the commissioner found that employer had violated ORS </w:t>
      </w:r>
      <w:proofErr w:type="gramStart"/>
      <w:r w:rsidRPr="00851945">
        <w:rPr>
          <w:rFonts w:ascii="Arial" w:eastAsia="Times New Roman" w:hAnsi="Arial" w:cs="Arial"/>
          <w:color w:val="222222"/>
          <w:sz w:val="23"/>
          <w:szCs w:val="23"/>
        </w:rPr>
        <w:t>659A.112(</w:t>
      </w:r>
      <w:proofErr w:type="gramEnd"/>
      <w:r w:rsidRPr="00851945">
        <w:rPr>
          <w:rFonts w:ascii="Arial" w:eastAsia="Times New Roman" w:hAnsi="Arial" w:cs="Arial"/>
          <w:color w:val="222222"/>
          <w:sz w:val="23"/>
          <w:szCs w:val="23"/>
        </w:rPr>
        <w:t xml:space="preserve">2)(e) and (f) by failing to engage in a "meaningful interactive process," ORS 659A.124 is inapposite. We reach precisely the opposite conclusion. The commissioner explained that engaging in a "meaningful interactive process" is the "mandatory first step in the process of reasonable accommodation" that ORS </w:t>
      </w:r>
      <w:proofErr w:type="gramStart"/>
      <w:r w:rsidRPr="00851945">
        <w:rPr>
          <w:rFonts w:ascii="Arial" w:eastAsia="Times New Roman" w:hAnsi="Arial" w:cs="Arial"/>
          <w:color w:val="222222"/>
          <w:sz w:val="23"/>
          <w:szCs w:val="23"/>
        </w:rPr>
        <w:t>659A.112(</w:t>
      </w:r>
      <w:proofErr w:type="gramEnd"/>
      <w:r w:rsidRPr="00851945">
        <w:rPr>
          <w:rFonts w:ascii="Arial" w:eastAsia="Times New Roman" w:hAnsi="Arial" w:cs="Arial"/>
          <w:color w:val="222222"/>
          <w:sz w:val="23"/>
          <w:szCs w:val="23"/>
        </w:rPr>
        <w:t xml:space="preserve">2)(e) and (f) require. However, ORS 659A.124 provides that "the protections of ORS 659A.112 do not apply" to an employee who is currently engaged in the illegal use of drugs, if the employer takes an adverse action based on that use. Under the plain terms of ORS 659A.124, if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use is an illegal use of drugs within the meaning of ORS 659A.124, then ORS 659A.124 excused employer from whatever obligation it would have had under ORS 659A.112 to engage in a "meaningful interactive process" or otherwise accommodate employee's use of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BOLI advances a second, alternative argument. It argues that "employee's use of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was entirely legal under </w:t>
      </w:r>
      <w:hyperlink r:id="rId25" w:anchor="p525" w:history="1">
        <w:r w:rsidRPr="00851945">
          <w:rPr>
            <w:rFonts w:ascii="Arial" w:eastAsia="Times New Roman" w:hAnsi="Arial" w:cs="Arial"/>
            <w:color w:val="AAAAAA"/>
            <w:sz w:val="20"/>
            <w:szCs w:val="20"/>
            <w:shd w:val="clear" w:color="auto" w:fill="FFFFFF"/>
          </w:rPr>
          <w:t>525</w:t>
        </w:r>
      </w:hyperlink>
      <w:hyperlink r:id="rId26" w:anchor="p525" w:history="1">
        <w:r w:rsidRPr="00851945">
          <w:rPr>
            <w:rFonts w:ascii="Arial" w:eastAsia="Times New Roman" w:hAnsi="Arial" w:cs="Arial"/>
            <w:color w:val="AAAAAA"/>
            <w:sz w:val="20"/>
            <w:szCs w:val="20"/>
          </w:rPr>
          <w:t>*525</w:t>
        </w:r>
      </w:hyperlink>
      <w:r w:rsidRPr="00851945">
        <w:rPr>
          <w:rFonts w:ascii="Arial" w:eastAsia="Times New Roman" w:hAnsi="Arial" w:cs="Arial"/>
          <w:color w:val="222222"/>
          <w:sz w:val="23"/>
          <w:szCs w:val="23"/>
        </w:rPr>
        <w:t xml:space="preserve"> state law" and thus not an "illegal use of drugs" within the meaning of ORS 659A.124. BOLI recognizes, as it must, that the federal Controlled Substances Act prohibits possession of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even when used for medical purposes. BOLI's argument rests on the </w:t>
      </w:r>
      <w:proofErr w:type="gramStart"/>
      <w:r w:rsidRPr="00851945">
        <w:rPr>
          <w:rFonts w:ascii="Arial" w:eastAsia="Times New Roman" w:hAnsi="Arial" w:cs="Arial"/>
          <w:color w:val="222222"/>
          <w:sz w:val="23"/>
          <w:szCs w:val="23"/>
        </w:rPr>
        <w:t>assumption that the phrase "illegal use of drugs" in ORS 659A.124 does not include uses that are</w:t>
      </w:r>
      <w:proofErr w:type="gramEnd"/>
      <w:r w:rsidRPr="00851945">
        <w:rPr>
          <w:rFonts w:ascii="Arial" w:eastAsia="Times New Roman" w:hAnsi="Arial" w:cs="Arial"/>
          <w:color w:val="222222"/>
          <w:sz w:val="23"/>
          <w:szCs w:val="23"/>
        </w:rPr>
        <w:t xml:space="preserve"> legal under state law even though those same uses are illegal as a matter of federal law. BOLI never identifies the basis for that assumption; however, a state statute defines the phrase "illegal use of drugs," as used in ORS 659A.124, and we turn to that statute for guidance in resolving BOLI's second argument.</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ORS 659A.122 provides, in part:</w:t>
      </w:r>
    </w:p>
    <w:p w:rsidR="00851945" w:rsidRPr="00851945" w:rsidRDefault="00851945" w:rsidP="00851945">
      <w:pPr>
        <w:shd w:val="clear" w:color="auto" w:fill="FFFFFF"/>
        <w:spacing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"As used in this section and ORS 659A.124, 659A.127 and 659A.130:</w:t>
      </w:r>
    </w:p>
    <w:p w:rsidR="00851945" w:rsidRPr="00851945" w:rsidRDefault="00851945" w:rsidP="00851945">
      <w:pPr>
        <w:shd w:val="clear" w:color="auto" w:fill="FFFFFF"/>
        <w:spacing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 * * *</w:t>
      </w:r>
    </w:p>
    <w:p w:rsidR="00851945" w:rsidRPr="00851945" w:rsidRDefault="00851945" w:rsidP="00851945">
      <w:pPr>
        <w:shd w:val="clear" w:color="auto" w:fill="FFFFFF"/>
        <w:spacing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lastRenderedPageBreak/>
        <w:t>"(2) `Illegal use of drugs' means any use of drugs, the possession or distribution of which is unlawful under state law or under the federal Controlled Substances Act, 21 U.S.C.A. 812, as amended, but does not include the use of a drug taken under supervision of a licensed health care professional, or other uses authorized under the Controlled Substances Act or under other provisions of state or federal law."</w:t>
      </w:r>
      <w:bookmarkStart w:id="8" w:name="r[9]"/>
      <w:r w:rsidRPr="00851945">
        <w:rPr>
          <w:rFonts w:ascii="Arial" w:eastAsia="Times New Roman" w:hAnsi="Arial" w:cs="Arial"/>
          <w:color w:val="222222"/>
          <w:sz w:val="23"/>
          <w:szCs w:val="23"/>
          <w:vertAlign w:val="superscript"/>
        </w:rPr>
        <w:fldChar w:fldCharType="begin"/>
      </w:r>
      <w:r w:rsidRPr="00851945">
        <w:rPr>
          <w:rFonts w:ascii="Arial" w:eastAsia="Times New Roman" w:hAnsi="Arial" w:cs="Arial"/>
          <w:color w:val="222222"/>
          <w:sz w:val="23"/>
          <w:szCs w:val="23"/>
          <w:vertAlign w:val="superscript"/>
        </w:rPr>
        <w:instrText xml:space="preserve"> HYPERLINK "http://scholar.google.com/scholar_case?case=12394314758738904678&amp;q=emerald+marijuana&amp;hl=en&amp;as_sdt=4,38" \l "[9]" </w:instrText>
      </w:r>
      <w:r w:rsidRPr="00851945">
        <w:rPr>
          <w:rFonts w:ascii="Arial" w:eastAsia="Times New Roman" w:hAnsi="Arial" w:cs="Arial"/>
          <w:color w:val="222222"/>
          <w:sz w:val="23"/>
          <w:szCs w:val="23"/>
          <w:vertAlign w:val="superscript"/>
        </w:rPr>
        <w:fldChar w:fldCharType="separate"/>
      </w:r>
      <w:r w:rsidRPr="00851945">
        <w:rPr>
          <w:rFonts w:ascii="Arial" w:eastAsia="Times New Roman" w:hAnsi="Arial" w:cs="Arial"/>
          <w:color w:val="1A0DAB"/>
          <w:sz w:val="23"/>
          <w:szCs w:val="23"/>
          <w:u w:val="single"/>
          <w:vertAlign w:val="superscript"/>
        </w:rPr>
        <w:t>[9]</w:t>
      </w:r>
      <w:r w:rsidRPr="00851945">
        <w:rPr>
          <w:rFonts w:ascii="Arial" w:eastAsia="Times New Roman" w:hAnsi="Arial" w:cs="Arial"/>
          <w:color w:val="222222"/>
          <w:sz w:val="23"/>
          <w:szCs w:val="23"/>
          <w:vertAlign w:val="superscript"/>
        </w:rPr>
        <w:fldChar w:fldCharType="end"/>
      </w:r>
      <w:bookmarkEnd w:id="8"/>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The definition of "illegal use of drugs" divides into two parts. The first part defines the drugs that are included within the definition—all drugs whose use or possession is unlawful under state or federal law.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clearly falls within the first part of the definition. The second part of the definition excludes certain uses of what would otherwise be an illegal use of a drug. Two exclusions are potentially applicable here: (1) the exclusion for "uses authorized under * * * other provisions of state * * * law" and (2) the exclusion for "the use of a drug taken under supervision of a licensed health care professional." We consider </w:t>
      </w:r>
      <w:proofErr w:type="gramStart"/>
      <w:r w:rsidRPr="00851945">
        <w:rPr>
          <w:rFonts w:ascii="Arial" w:eastAsia="Times New Roman" w:hAnsi="Arial" w:cs="Arial"/>
          <w:color w:val="222222"/>
          <w:sz w:val="23"/>
          <w:szCs w:val="23"/>
        </w:rPr>
        <w:t>each exclusion</w:t>
      </w:r>
      <w:proofErr w:type="gramEnd"/>
      <w:r w:rsidRPr="00851945">
        <w:rPr>
          <w:rFonts w:ascii="Arial" w:eastAsia="Times New Roman" w:hAnsi="Arial" w:cs="Arial"/>
          <w:color w:val="222222"/>
          <w:sz w:val="23"/>
          <w:szCs w:val="23"/>
        </w:rPr>
        <w:t xml:space="preserve"> in turn.</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We begin with the question whether employee's use of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is </w:t>
      </w:r>
      <w:proofErr w:type="gramStart"/>
      <w:r w:rsidRPr="00851945">
        <w:rPr>
          <w:rFonts w:ascii="Arial" w:eastAsia="Times New Roman" w:hAnsi="Arial" w:cs="Arial"/>
          <w:color w:val="222222"/>
          <w:sz w:val="23"/>
          <w:szCs w:val="23"/>
        </w:rPr>
        <w:t>a</w:t>
      </w:r>
      <w:proofErr w:type="gramEnd"/>
      <w:r w:rsidRPr="00851945">
        <w:rPr>
          <w:rFonts w:ascii="Arial" w:eastAsia="Times New Roman" w:hAnsi="Arial" w:cs="Arial"/>
          <w:color w:val="222222"/>
          <w:sz w:val="23"/>
          <w:szCs w:val="23"/>
        </w:rPr>
        <w:t xml:space="preserve"> "us[e] authorized under * * * other provisions of state * * * law." We conclude that, as a matter of statutory interpretation, it is an authorized use. The Oregon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Act affirmatively authorizes the use of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in addition to exempting its use from state criminal liability. Specifically, ORS 475.306(1) provides that "[a] person who possesses a registry identification card * * * may engage in * * * the medical use of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subject to certain restrictions. ORS 475.302(10), in turn, defines a registry identification card as "a document * * * that identifies a person authorized to engage in the medical use of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Reading those two subsections together, we conclude that ORS 475.306(1) affirmatively authorizes the use of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for medical purposes</w:t>
      </w:r>
      <w:bookmarkStart w:id="9" w:name="r[10]"/>
      <w:r w:rsidRPr="00851945">
        <w:rPr>
          <w:rFonts w:ascii="Arial" w:eastAsia="Times New Roman" w:hAnsi="Arial" w:cs="Arial"/>
          <w:color w:val="222222"/>
          <w:sz w:val="23"/>
          <w:szCs w:val="23"/>
          <w:vertAlign w:val="superscript"/>
        </w:rPr>
        <w:fldChar w:fldCharType="begin"/>
      </w:r>
      <w:r w:rsidRPr="00851945">
        <w:rPr>
          <w:rFonts w:ascii="Arial" w:eastAsia="Times New Roman" w:hAnsi="Arial" w:cs="Arial"/>
          <w:color w:val="222222"/>
          <w:sz w:val="23"/>
          <w:szCs w:val="23"/>
          <w:vertAlign w:val="superscript"/>
        </w:rPr>
        <w:instrText xml:space="preserve"> HYPERLINK "http://scholar.google.com/scholar_case?case=12394314758738904678&amp;q=emerald+marijuana&amp;hl=en&amp;as_sdt=4,38" \l "[10]" </w:instrText>
      </w:r>
      <w:r w:rsidRPr="00851945">
        <w:rPr>
          <w:rFonts w:ascii="Arial" w:eastAsia="Times New Roman" w:hAnsi="Arial" w:cs="Arial"/>
          <w:color w:val="222222"/>
          <w:sz w:val="23"/>
          <w:szCs w:val="23"/>
          <w:vertAlign w:val="superscript"/>
        </w:rPr>
        <w:fldChar w:fldCharType="separate"/>
      </w:r>
      <w:r w:rsidRPr="00851945">
        <w:rPr>
          <w:rFonts w:ascii="Arial" w:eastAsia="Times New Roman" w:hAnsi="Arial" w:cs="Arial"/>
          <w:color w:val="1A0DAB"/>
          <w:sz w:val="23"/>
          <w:szCs w:val="23"/>
          <w:u w:val="single"/>
          <w:vertAlign w:val="superscript"/>
        </w:rPr>
        <w:t>[10]</w:t>
      </w:r>
      <w:r w:rsidRPr="00851945">
        <w:rPr>
          <w:rFonts w:ascii="Arial" w:eastAsia="Times New Roman" w:hAnsi="Arial" w:cs="Arial"/>
          <w:color w:val="222222"/>
          <w:sz w:val="23"/>
          <w:szCs w:val="23"/>
          <w:vertAlign w:val="superscript"/>
        </w:rPr>
        <w:fldChar w:fldCharType="end"/>
      </w:r>
      <w:bookmarkEnd w:id="9"/>
      <w:r w:rsidRPr="00851945">
        <w:rPr>
          <w:rFonts w:ascii="Arial" w:eastAsia="Times New Roman" w:hAnsi="Arial" w:cs="Arial"/>
          <w:color w:val="222222"/>
          <w:sz w:val="23"/>
          <w:szCs w:val="23"/>
        </w:rPr>
        <w:t xml:space="preserve"> and, as a statutory matter, brings the use of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within one of the exclusions from the "illegal use of drugs" in ORS 659A.122(2).</w:t>
      </w:r>
      <w:bookmarkStart w:id="10" w:name="r[11]"/>
      <w:r w:rsidRPr="00851945">
        <w:rPr>
          <w:rFonts w:ascii="Arial" w:eastAsia="Times New Roman" w:hAnsi="Arial" w:cs="Arial"/>
          <w:color w:val="222222"/>
          <w:sz w:val="23"/>
          <w:szCs w:val="23"/>
          <w:vertAlign w:val="superscript"/>
        </w:rPr>
        <w:fldChar w:fldCharType="begin"/>
      </w:r>
      <w:r w:rsidRPr="00851945">
        <w:rPr>
          <w:rFonts w:ascii="Arial" w:eastAsia="Times New Roman" w:hAnsi="Arial" w:cs="Arial"/>
          <w:color w:val="222222"/>
          <w:sz w:val="23"/>
          <w:szCs w:val="23"/>
          <w:vertAlign w:val="superscript"/>
        </w:rPr>
        <w:instrText xml:space="preserve"> HYPERLINK "http://scholar.google.com/scholar_case?case=12394314758738904678&amp;q=emerald+marijuana&amp;hl=en&amp;as_sdt=4,38" \l "[11]" </w:instrText>
      </w:r>
      <w:r w:rsidRPr="00851945">
        <w:rPr>
          <w:rFonts w:ascii="Arial" w:eastAsia="Times New Roman" w:hAnsi="Arial" w:cs="Arial"/>
          <w:color w:val="222222"/>
          <w:sz w:val="23"/>
          <w:szCs w:val="23"/>
          <w:vertAlign w:val="superscript"/>
        </w:rPr>
        <w:fldChar w:fldCharType="separate"/>
      </w:r>
      <w:r w:rsidRPr="00851945">
        <w:rPr>
          <w:rFonts w:ascii="Arial" w:eastAsia="Times New Roman" w:hAnsi="Arial" w:cs="Arial"/>
          <w:color w:val="1A0DAB"/>
          <w:sz w:val="23"/>
          <w:szCs w:val="23"/>
          <w:u w:val="single"/>
          <w:vertAlign w:val="superscript"/>
        </w:rPr>
        <w:t>[11]</w:t>
      </w:r>
      <w:r w:rsidRPr="00851945">
        <w:rPr>
          <w:rFonts w:ascii="Arial" w:eastAsia="Times New Roman" w:hAnsi="Arial" w:cs="Arial"/>
          <w:color w:val="222222"/>
          <w:sz w:val="23"/>
          <w:szCs w:val="23"/>
          <w:vertAlign w:val="superscript"/>
        </w:rPr>
        <w:fldChar w:fldCharType="end"/>
      </w:r>
      <w:bookmarkEnd w:id="10"/>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hyperlink r:id="rId27" w:anchor="p526" w:history="1">
        <w:r w:rsidRPr="00851945">
          <w:rPr>
            <w:rFonts w:ascii="Arial" w:eastAsia="Times New Roman" w:hAnsi="Arial" w:cs="Arial"/>
            <w:color w:val="AAAAAA"/>
            <w:sz w:val="20"/>
            <w:szCs w:val="20"/>
            <w:shd w:val="clear" w:color="auto" w:fill="FFFFFF"/>
          </w:rPr>
          <w:t>526</w:t>
        </w:r>
      </w:hyperlink>
      <w:hyperlink r:id="rId28" w:anchor="p526" w:history="1">
        <w:r w:rsidRPr="00851945">
          <w:rPr>
            <w:rFonts w:ascii="Arial" w:eastAsia="Times New Roman" w:hAnsi="Arial" w:cs="Arial"/>
            <w:color w:val="AAAAAA"/>
            <w:sz w:val="20"/>
            <w:szCs w:val="20"/>
          </w:rPr>
          <w:t>*526</w:t>
        </w:r>
      </w:hyperlink>
      <w:r w:rsidRPr="00851945">
        <w:rPr>
          <w:rFonts w:ascii="Arial" w:eastAsia="Times New Roman" w:hAnsi="Arial" w:cs="Arial"/>
          <w:color w:val="222222"/>
          <w:sz w:val="23"/>
          <w:szCs w:val="23"/>
        </w:rPr>
        <w:t xml:space="preserve"> Employer argues, however, that the Supremacy Clause of the United States Constitution requires that we interpret Oregon's statutes consistently with the federal Controlled Substances Act. We understand employer's point to be that, to the extent that ORS 475.306(1) affirmatively authorizes the use of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federal law preempts that subsection and that, without any effective state law authorizing the use of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employee's use of that drug was an "illegal use of drugs" within the meaning of ORS 659A.124.</w:t>
      </w:r>
      <w:bookmarkStart w:id="11" w:name="r[12]"/>
      <w:r w:rsidRPr="00851945">
        <w:rPr>
          <w:rFonts w:ascii="Arial" w:eastAsia="Times New Roman" w:hAnsi="Arial" w:cs="Arial"/>
          <w:color w:val="222222"/>
          <w:sz w:val="23"/>
          <w:szCs w:val="23"/>
          <w:vertAlign w:val="superscript"/>
        </w:rPr>
        <w:fldChar w:fldCharType="begin"/>
      </w:r>
      <w:r w:rsidRPr="00851945">
        <w:rPr>
          <w:rFonts w:ascii="Arial" w:eastAsia="Times New Roman" w:hAnsi="Arial" w:cs="Arial"/>
          <w:color w:val="222222"/>
          <w:sz w:val="23"/>
          <w:szCs w:val="23"/>
          <w:vertAlign w:val="superscript"/>
        </w:rPr>
        <w:instrText xml:space="preserve"> HYPERLINK "http://scholar.google.com/scholar_case?case=12394314758738904678&amp;q=emerald+marijuana&amp;hl=en&amp;as_sdt=4,38" \l "[12]" </w:instrText>
      </w:r>
      <w:r w:rsidRPr="00851945">
        <w:rPr>
          <w:rFonts w:ascii="Arial" w:eastAsia="Times New Roman" w:hAnsi="Arial" w:cs="Arial"/>
          <w:color w:val="222222"/>
          <w:sz w:val="23"/>
          <w:szCs w:val="23"/>
          <w:vertAlign w:val="superscript"/>
        </w:rPr>
        <w:fldChar w:fldCharType="separate"/>
      </w:r>
      <w:r w:rsidRPr="00851945">
        <w:rPr>
          <w:rFonts w:ascii="Arial" w:eastAsia="Times New Roman" w:hAnsi="Arial" w:cs="Arial"/>
          <w:color w:val="1A0DAB"/>
          <w:sz w:val="23"/>
          <w:szCs w:val="23"/>
          <w:u w:val="single"/>
          <w:vertAlign w:val="superscript"/>
        </w:rPr>
        <w:t>[12]</w:t>
      </w:r>
      <w:r w:rsidRPr="00851945">
        <w:rPr>
          <w:rFonts w:ascii="Arial" w:eastAsia="Times New Roman" w:hAnsi="Arial" w:cs="Arial"/>
          <w:color w:val="222222"/>
          <w:sz w:val="23"/>
          <w:szCs w:val="23"/>
          <w:vertAlign w:val="superscript"/>
        </w:rPr>
        <w:fldChar w:fldCharType="end"/>
      </w:r>
      <w:bookmarkEnd w:id="11"/>
      <w:r w:rsidRPr="00851945">
        <w:rPr>
          <w:rFonts w:ascii="Arial" w:eastAsia="Times New Roman" w:hAnsi="Arial" w:cs="Arial"/>
          <w:color w:val="222222"/>
          <w:sz w:val="23"/>
          <w:szCs w:val="23"/>
        </w:rPr>
        <w:t xml:space="preserve"> We turn to that question and begin by setting out the general principles that govern preemption. We then discuss the federal Controlled Substances Act and finally turn to whether the Controlled Substances Act preempts the Oregon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Act to the extent that state law affirmatively authorizes the use of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The United States Supreme Court recently summarized the general principles governing preemption:</w:t>
      </w:r>
    </w:p>
    <w:p w:rsidR="00851945" w:rsidRPr="00851945" w:rsidRDefault="00851945" w:rsidP="00851945">
      <w:pPr>
        <w:shd w:val="clear" w:color="auto" w:fill="FFFFFF"/>
        <w:spacing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"Our inquiry into the scope of a statute's pre-emptive effect is guided by the rule that `"[t]he purpose of Congress is the ultimate touchstone" in every pre-emption case.' </w:t>
      </w:r>
      <w:hyperlink r:id="rId29" w:history="1">
        <w:r w:rsidRPr="00851945">
          <w:rPr>
            <w:rFonts w:ascii="Arial" w:eastAsia="Times New Roman" w:hAnsi="Arial" w:cs="Arial"/>
            <w:i/>
            <w:iCs/>
            <w:color w:val="1A0DAB"/>
            <w:sz w:val="23"/>
            <w:szCs w:val="23"/>
            <w:u w:val="single"/>
          </w:rPr>
          <w:t xml:space="preserve">Medtronic, Inc. v. </w:t>
        </w:r>
        <w:proofErr w:type="spellStart"/>
        <w:r w:rsidRPr="00851945">
          <w:rPr>
            <w:rFonts w:ascii="Arial" w:eastAsia="Times New Roman" w:hAnsi="Arial" w:cs="Arial"/>
            <w:i/>
            <w:iCs/>
            <w:color w:val="1A0DAB"/>
            <w:sz w:val="23"/>
            <w:szCs w:val="23"/>
            <w:u w:val="single"/>
          </w:rPr>
          <w:t>Lohr</w:t>
        </w:r>
        <w:proofErr w:type="spellEnd"/>
        <w:r w:rsidRPr="00851945">
          <w:rPr>
            <w:rFonts w:ascii="Arial" w:eastAsia="Times New Roman" w:hAnsi="Arial" w:cs="Arial"/>
            <w:i/>
            <w:iCs/>
            <w:color w:val="1A0DAB"/>
            <w:sz w:val="23"/>
            <w:szCs w:val="23"/>
            <w:u w:val="single"/>
          </w:rPr>
          <w:t>,</w:t>
        </w:r>
        <w:r w:rsidRPr="00851945">
          <w:rPr>
            <w:rFonts w:ascii="Arial" w:eastAsia="Times New Roman" w:hAnsi="Arial" w:cs="Arial"/>
            <w:color w:val="1A0DAB"/>
            <w:sz w:val="23"/>
            <w:szCs w:val="23"/>
            <w:u w:val="single"/>
          </w:rPr>
          <w:t xml:space="preserve"> 518 U.S. 470, 485, 116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2240, 135 L.Ed.2d 700 (1996)</w:t>
        </w:r>
      </w:hyperlink>
      <w:r w:rsidRPr="00851945">
        <w:rPr>
          <w:rFonts w:ascii="Arial" w:eastAsia="Times New Roman" w:hAnsi="Arial" w:cs="Arial"/>
          <w:color w:val="222222"/>
          <w:sz w:val="23"/>
          <w:szCs w:val="23"/>
        </w:rPr>
        <w:t xml:space="preserve"> (quoting </w:t>
      </w:r>
      <w:hyperlink r:id="rId30" w:history="1">
        <w:r w:rsidRPr="00851945">
          <w:rPr>
            <w:rFonts w:ascii="Arial" w:eastAsia="Times New Roman" w:hAnsi="Arial" w:cs="Arial"/>
            <w:i/>
            <w:iCs/>
            <w:color w:val="1A0DAB"/>
            <w:sz w:val="23"/>
            <w:szCs w:val="23"/>
            <w:u w:val="single"/>
          </w:rPr>
          <w:t xml:space="preserve">Retail Clerks v. </w:t>
        </w:r>
        <w:proofErr w:type="spellStart"/>
        <w:r w:rsidRPr="00851945">
          <w:rPr>
            <w:rFonts w:ascii="Arial" w:eastAsia="Times New Roman" w:hAnsi="Arial" w:cs="Arial"/>
            <w:i/>
            <w:iCs/>
            <w:color w:val="1A0DAB"/>
            <w:sz w:val="23"/>
            <w:szCs w:val="23"/>
            <w:u w:val="single"/>
          </w:rPr>
          <w:t>Schermerhorn</w:t>
        </w:r>
        <w:proofErr w:type="spellEnd"/>
        <w:r w:rsidRPr="00851945">
          <w:rPr>
            <w:rFonts w:ascii="Arial" w:eastAsia="Times New Roman" w:hAnsi="Arial" w:cs="Arial"/>
            <w:i/>
            <w:iCs/>
            <w:color w:val="1A0DAB"/>
            <w:sz w:val="23"/>
            <w:szCs w:val="23"/>
            <w:u w:val="single"/>
          </w:rPr>
          <w:t>,</w:t>
        </w:r>
        <w:r w:rsidRPr="00851945">
          <w:rPr>
            <w:rFonts w:ascii="Arial" w:eastAsia="Times New Roman" w:hAnsi="Arial" w:cs="Arial"/>
            <w:color w:val="1A0DAB"/>
            <w:sz w:val="23"/>
            <w:szCs w:val="23"/>
            <w:u w:val="single"/>
          </w:rPr>
          <w:t xml:space="preserve"> 375 U.S. 96, 103, 84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219, 11 L.Ed.2d 179 (1963)</w:t>
        </w:r>
      </w:hyperlink>
      <w:r w:rsidRPr="00851945">
        <w:rPr>
          <w:rFonts w:ascii="Arial" w:eastAsia="Times New Roman" w:hAnsi="Arial" w:cs="Arial"/>
          <w:color w:val="222222"/>
          <w:sz w:val="23"/>
          <w:szCs w:val="23"/>
        </w:rPr>
        <w:t xml:space="preserve">). Congress may indicate a pre-emptive intent through a statute's express language or through its structure </w:t>
      </w:r>
      <w:r w:rsidRPr="00851945">
        <w:rPr>
          <w:rFonts w:ascii="Arial" w:eastAsia="Times New Roman" w:hAnsi="Arial" w:cs="Arial"/>
          <w:color w:val="222222"/>
          <w:sz w:val="23"/>
          <w:szCs w:val="23"/>
        </w:rPr>
        <w:lastRenderedPageBreak/>
        <w:t xml:space="preserve">and purpose. </w:t>
      </w:r>
      <w:r w:rsidRPr="00851945">
        <w:rPr>
          <w:rFonts w:ascii="Arial" w:eastAsia="Times New Roman" w:hAnsi="Arial" w:cs="Arial"/>
          <w:i/>
          <w:iCs/>
          <w:color w:val="222222"/>
          <w:sz w:val="23"/>
          <w:szCs w:val="23"/>
        </w:rPr>
        <w:t xml:space="preserve">See </w:t>
      </w:r>
      <w:hyperlink r:id="rId31" w:history="1">
        <w:r w:rsidRPr="00851945">
          <w:rPr>
            <w:rFonts w:ascii="Arial" w:eastAsia="Times New Roman" w:hAnsi="Arial" w:cs="Arial"/>
            <w:i/>
            <w:iCs/>
            <w:color w:val="1A0DAB"/>
            <w:sz w:val="23"/>
            <w:szCs w:val="23"/>
            <w:u w:val="single"/>
          </w:rPr>
          <w:t xml:space="preserve">Jones v. </w:t>
        </w:r>
        <w:proofErr w:type="spellStart"/>
        <w:r w:rsidRPr="00851945">
          <w:rPr>
            <w:rFonts w:ascii="Arial" w:eastAsia="Times New Roman" w:hAnsi="Arial" w:cs="Arial"/>
            <w:i/>
            <w:iCs/>
            <w:color w:val="1A0DAB"/>
            <w:sz w:val="23"/>
            <w:szCs w:val="23"/>
            <w:u w:val="single"/>
          </w:rPr>
          <w:t>Rath</w:t>
        </w:r>
        <w:proofErr w:type="spellEnd"/>
        <w:r w:rsidRPr="00851945">
          <w:rPr>
            <w:rFonts w:ascii="Arial" w:eastAsia="Times New Roman" w:hAnsi="Arial" w:cs="Arial"/>
            <w:i/>
            <w:iCs/>
            <w:color w:val="1A0DAB"/>
            <w:sz w:val="23"/>
            <w:szCs w:val="23"/>
            <w:u w:val="single"/>
          </w:rPr>
          <w:t xml:space="preserve"> Packing Co.,</w:t>
        </w:r>
        <w:r w:rsidRPr="00851945">
          <w:rPr>
            <w:rFonts w:ascii="Arial" w:eastAsia="Times New Roman" w:hAnsi="Arial" w:cs="Arial"/>
            <w:color w:val="1A0DAB"/>
            <w:sz w:val="23"/>
            <w:szCs w:val="23"/>
            <w:u w:val="single"/>
          </w:rPr>
          <w:t xml:space="preserve"> 430 U.S. 519, 525, 97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xml:space="preserve">. 1305, </w:t>
        </w:r>
        <w:proofErr w:type="gramStart"/>
        <w:r w:rsidRPr="00851945">
          <w:rPr>
            <w:rFonts w:ascii="Arial" w:eastAsia="Times New Roman" w:hAnsi="Arial" w:cs="Arial"/>
            <w:color w:val="1A0DAB"/>
            <w:sz w:val="23"/>
            <w:szCs w:val="23"/>
            <w:u w:val="single"/>
          </w:rPr>
          <w:t>51 L.Ed.2d 604</w:t>
        </w:r>
        <w:proofErr w:type="gramEnd"/>
        <w:r w:rsidRPr="00851945">
          <w:rPr>
            <w:rFonts w:ascii="Arial" w:eastAsia="Times New Roman" w:hAnsi="Arial" w:cs="Arial"/>
            <w:color w:val="1A0DAB"/>
            <w:sz w:val="23"/>
            <w:szCs w:val="23"/>
            <w:u w:val="single"/>
          </w:rPr>
          <w:t xml:space="preserve"> (1977)</w:t>
        </w:r>
      </w:hyperlink>
      <w:r w:rsidRPr="00851945">
        <w:rPr>
          <w:rFonts w:ascii="Arial" w:eastAsia="Times New Roman" w:hAnsi="Arial" w:cs="Arial"/>
          <w:color w:val="222222"/>
          <w:sz w:val="23"/>
          <w:szCs w:val="23"/>
        </w:rPr>
        <w:t xml:space="preserve">. * * * Preemptive intent may also be inferred if the scope of the statute indicates that Congress intended federal law to occupy the legislative field, or if there is an actual conflict between state and federal law. </w:t>
      </w:r>
      <w:hyperlink r:id="rId32" w:history="1">
        <w:proofErr w:type="gramStart"/>
        <w:r w:rsidRPr="00851945">
          <w:rPr>
            <w:rFonts w:ascii="Arial" w:eastAsia="Times New Roman" w:hAnsi="Arial" w:cs="Arial"/>
            <w:i/>
            <w:iCs/>
            <w:color w:val="1A0DAB"/>
            <w:sz w:val="23"/>
            <w:szCs w:val="23"/>
            <w:u w:val="single"/>
          </w:rPr>
          <w:t>Freightliner Corp. v. Myrick,</w:t>
        </w:r>
        <w:r w:rsidRPr="00851945">
          <w:rPr>
            <w:rFonts w:ascii="Arial" w:eastAsia="Times New Roman" w:hAnsi="Arial" w:cs="Arial"/>
            <w:color w:val="1A0DAB"/>
            <w:sz w:val="23"/>
            <w:szCs w:val="23"/>
            <w:u w:val="single"/>
          </w:rPr>
          <w:t xml:space="preserve"> 514 U.S. 280, 287, 115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1483, 131 L.Ed.2d 385 (1995)</w:t>
        </w:r>
      </w:hyperlink>
      <w:r w:rsidRPr="00851945">
        <w:rPr>
          <w:rFonts w:ascii="Arial" w:eastAsia="Times New Roman" w:hAnsi="Arial" w:cs="Arial"/>
          <w:color w:val="222222"/>
          <w:sz w:val="23"/>
          <w:szCs w:val="23"/>
        </w:rPr>
        <w:t>.</w:t>
      </w:r>
      <w:proofErr w:type="gramEnd"/>
    </w:p>
    <w:p w:rsidR="00851945" w:rsidRPr="00851945" w:rsidRDefault="00851945" w:rsidP="00851945">
      <w:pPr>
        <w:shd w:val="clear" w:color="auto" w:fill="FFFFFF"/>
        <w:spacing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"When addressing questions of express or implied pre-emption, we begin our analysis `with the assumption that the historic police powers of the States [are] not to be superseded by the Federal Act unless that was the clear and manifest purpose of Congress.' </w:t>
      </w:r>
      <w:hyperlink r:id="rId33" w:history="1">
        <w:r w:rsidRPr="00851945">
          <w:rPr>
            <w:rFonts w:ascii="Arial" w:eastAsia="Times New Roman" w:hAnsi="Arial" w:cs="Arial"/>
            <w:i/>
            <w:iCs/>
            <w:color w:val="1A0DAB"/>
            <w:sz w:val="23"/>
            <w:szCs w:val="23"/>
            <w:u w:val="single"/>
          </w:rPr>
          <w:t>Rice v. Santa Fe Elevator Corp.,</w:t>
        </w:r>
        <w:r w:rsidRPr="00851945">
          <w:rPr>
            <w:rFonts w:ascii="Arial" w:eastAsia="Times New Roman" w:hAnsi="Arial" w:cs="Arial"/>
            <w:color w:val="1A0DAB"/>
            <w:sz w:val="23"/>
            <w:szCs w:val="23"/>
            <w:u w:val="single"/>
          </w:rPr>
          <w:t xml:space="preserve"> 331 U.S. 218, 230, 67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xml:space="preserve">. 1146, </w:t>
        </w:r>
        <w:proofErr w:type="gramStart"/>
        <w:r w:rsidRPr="00851945">
          <w:rPr>
            <w:rFonts w:ascii="Arial" w:eastAsia="Times New Roman" w:hAnsi="Arial" w:cs="Arial"/>
            <w:color w:val="1A0DAB"/>
            <w:sz w:val="23"/>
            <w:szCs w:val="23"/>
            <w:u w:val="single"/>
          </w:rPr>
          <w:t xml:space="preserve">91 </w:t>
        </w:r>
        <w:proofErr w:type="spellStart"/>
        <w:r w:rsidRPr="00851945">
          <w:rPr>
            <w:rFonts w:ascii="Arial" w:eastAsia="Times New Roman" w:hAnsi="Arial" w:cs="Arial"/>
            <w:color w:val="1A0DAB"/>
            <w:sz w:val="23"/>
            <w:szCs w:val="23"/>
            <w:u w:val="single"/>
          </w:rPr>
          <w:t>L.Ed</w:t>
        </w:r>
        <w:proofErr w:type="spellEnd"/>
        <w:proofErr w:type="gramEnd"/>
        <w:r w:rsidRPr="00851945">
          <w:rPr>
            <w:rFonts w:ascii="Arial" w:eastAsia="Times New Roman" w:hAnsi="Arial" w:cs="Arial"/>
            <w:color w:val="1A0DAB"/>
            <w:sz w:val="23"/>
            <w:szCs w:val="23"/>
            <w:u w:val="single"/>
          </w:rPr>
          <w:t xml:space="preserve">. </w:t>
        </w:r>
        <w:proofErr w:type="gramStart"/>
        <w:r w:rsidRPr="00851945">
          <w:rPr>
            <w:rFonts w:ascii="Arial" w:eastAsia="Times New Roman" w:hAnsi="Arial" w:cs="Arial"/>
            <w:color w:val="1A0DAB"/>
            <w:sz w:val="23"/>
            <w:szCs w:val="23"/>
            <w:u w:val="single"/>
          </w:rPr>
          <w:t>1447 (1947)</w:t>
        </w:r>
      </w:hyperlink>
      <w:r w:rsidRPr="00851945">
        <w:rPr>
          <w:rFonts w:ascii="Arial" w:eastAsia="Times New Roman" w:hAnsi="Arial" w:cs="Arial"/>
          <w:color w:val="222222"/>
          <w:sz w:val="23"/>
          <w:szCs w:val="23"/>
        </w:rPr>
        <w:t>."</w:t>
      </w:r>
      <w:proofErr w:type="gramEnd"/>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hyperlink r:id="rId34" w:history="1">
        <w:proofErr w:type="gramStart"/>
        <w:r w:rsidRPr="00851945">
          <w:rPr>
            <w:rFonts w:ascii="Arial" w:eastAsia="Times New Roman" w:hAnsi="Arial" w:cs="Arial"/>
            <w:i/>
            <w:iCs/>
            <w:color w:val="1A0DAB"/>
            <w:sz w:val="23"/>
            <w:szCs w:val="23"/>
            <w:u w:val="single"/>
          </w:rPr>
          <w:t>Altria Group, Inc. v. Good,</w:t>
        </w:r>
        <w:r w:rsidRPr="00851945">
          <w:rPr>
            <w:rFonts w:ascii="Arial" w:eastAsia="Times New Roman" w:hAnsi="Arial" w:cs="Arial"/>
            <w:color w:val="1A0DAB"/>
            <w:sz w:val="23"/>
            <w:szCs w:val="23"/>
            <w:u w:val="single"/>
          </w:rPr>
          <w:t xml:space="preserve"> ___ U.S. ___, ___, 129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538, 543, 172 L.Ed.2d 398 (2008)</w:t>
        </w:r>
      </w:hyperlink>
      <w:r w:rsidRPr="00851945">
        <w:rPr>
          <w:rFonts w:ascii="Arial" w:eastAsia="Times New Roman" w:hAnsi="Arial" w:cs="Arial"/>
          <w:color w:val="222222"/>
          <w:sz w:val="23"/>
          <w:szCs w:val="23"/>
        </w:rPr>
        <w:t>.</w:t>
      </w:r>
      <w:proofErr w:type="gramEnd"/>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With those principles in mind, we turn to the Controlled Substances Act. The central objectives of that act "were to conquer drug abuse and to control the legitimate and illegitimate traffic in controlled substances. Congress was particularly concerned with the need to prevent the diversion of drugs from legitimate to illicit channels." </w:t>
      </w:r>
      <w:hyperlink r:id="rId35" w:history="1">
        <w:proofErr w:type="spellStart"/>
        <w:proofErr w:type="gramStart"/>
        <w:r w:rsidRPr="00851945">
          <w:rPr>
            <w:rFonts w:ascii="Arial" w:eastAsia="Times New Roman" w:hAnsi="Arial" w:cs="Arial"/>
            <w:i/>
            <w:iCs/>
            <w:color w:val="1A0DAB"/>
            <w:sz w:val="23"/>
            <w:szCs w:val="23"/>
            <w:u w:val="single"/>
          </w:rPr>
          <w:t>Raich</w:t>
        </w:r>
        <w:proofErr w:type="spellEnd"/>
        <w:r w:rsidRPr="00851945">
          <w:rPr>
            <w:rFonts w:ascii="Arial" w:eastAsia="Times New Roman" w:hAnsi="Arial" w:cs="Arial"/>
            <w:i/>
            <w:iCs/>
            <w:color w:val="1A0DAB"/>
            <w:sz w:val="23"/>
            <w:szCs w:val="23"/>
            <w:u w:val="single"/>
          </w:rPr>
          <w:t>,</w:t>
        </w:r>
        <w:r w:rsidRPr="00851945">
          <w:rPr>
            <w:rFonts w:ascii="Arial" w:eastAsia="Times New Roman" w:hAnsi="Arial" w:cs="Arial"/>
            <w:color w:val="1A0DAB"/>
            <w:sz w:val="23"/>
            <w:szCs w:val="23"/>
            <w:u w:val="single"/>
          </w:rPr>
          <w:t xml:space="preserve"> 545 U.S. at 12-13, 125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2195</w:t>
        </w:r>
      </w:hyperlink>
      <w:r w:rsidRPr="00851945">
        <w:rPr>
          <w:rFonts w:ascii="Arial" w:eastAsia="Times New Roman" w:hAnsi="Arial" w:cs="Arial"/>
          <w:color w:val="222222"/>
          <w:sz w:val="23"/>
          <w:szCs w:val="23"/>
        </w:rPr>
        <w:t xml:space="preserve"> (footnotes omitted).</w:t>
      </w:r>
      <w:proofErr w:type="gramEnd"/>
      <w:r w:rsidRPr="00851945">
        <w:rPr>
          <w:rFonts w:ascii="Arial" w:eastAsia="Times New Roman" w:hAnsi="Arial" w:cs="Arial"/>
          <w:color w:val="222222"/>
          <w:sz w:val="23"/>
          <w:szCs w:val="23"/>
        </w:rPr>
        <w:t xml:space="preserve"> To accomplish those objectives, Congress created a comprehensive, closed regulatory regime that criminalizes the unauthorized manufacture, distribution, dispensation, and possession of controlled substances classified in five schedules. </w:t>
      </w:r>
      <w:r w:rsidRPr="00851945">
        <w:rPr>
          <w:rFonts w:ascii="Arial" w:eastAsia="Times New Roman" w:hAnsi="Arial" w:cs="Arial"/>
          <w:i/>
          <w:iCs/>
          <w:color w:val="222222"/>
          <w:sz w:val="23"/>
          <w:szCs w:val="23"/>
        </w:rPr>
        <w:t>Id.</w:t>
      </w:r>
      <w:r w:rsidRPr="00851945">
        <w:rPr>
          <w:rFonts w:ascii="Arial" w:eastAsia="Times New Roman" w:hAnsi="Arial" w:cs="Arial"/>
          <w:color w:val="222222"/>
          <w:sz w:val="23"/>
          <w:szCs w:val="23"/>
        </w:rPr>
        <w:t xml:space="preserve"> at 13, </w:t>
      </w:r>
      <w:hyperlink r:id="rId36" w:history="1">
        <w:r w:rsidRPr="00851945">
          <w:rPr>
            <w:rFonts w:ascii="Arial" w:eastAsia="Times New Roman" w:hAnsi="Arial" w:cs="Arial"/>
            <w:color w:val="1A0DAB"/>
            <w:sz w:val="23"/>
            <w:szCs w:val="23"/>
            <w:u w:val="single"/>
          </w:rPr>
          <w:t xml:space="preserve">125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2195</w:t>
        </w:r>
      </w:hyperlink>
      <w:r w:rsidRPr="00851945">
        <w:rPr>
          <w:rFonts w:ascii="Arial" w:eastAsia="Times New Roman" w:hAnsi="Arial" w:cs="Arial"/>
          <w:color w:val="222222"/>
          <w:sz w:val="23"/>
          <w:szCs w:val="23"/>
        </w:rPr>
        <w:t>.</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The Court has explained that:</w:t>
      </w:r>
    </w:p>
    <w:p w:rsidR="00851945" w:rsidRPr="00851945" w:rsidRDefault="00851945" w:rsidP="00851945">
      <w:pPr>
        <w:shd w:val="clear" w:color="auto" w:fill="FFFFFF"/>
        <w:spacing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"Schedule I drugs are categorized as such because of their high potential for abuse, lack of any accepted medical use, and absence of any accepted safety for use in medically supervised treatment. </w:t>
      </w:r>
      <w:proofErr w:type="gramStart"/>
      <w:r w:rsidRPr="00851945">
        <w:rPr>
          <w:rFonts w:ascii="Arial" w:eastAsia="Times New Roman" w:hAnsi="Arial" w:cs="Arial"/>
          <w:color w:val="222222"/>
          <w:sz w:val="23"/>
          <w:szCs w:val="23"/>
        </w:rPr>
        <w:t>[21 U.S.C.]</w:t>
      </w:r>
      <w:proofErr w:type="gramEnd"/>
      <w:r w:rsidRPr="00851945">
        <w:rPr>
          <w:rFonts w:ascii="Arial" w:eastAsia="Times New Roman" w:hAnsi="Arial" w:cs="Arial"/>
          <w:color w:val="222222"/>
          <w:sz w:val="23"/>
          <w:szCs w:val="23"/>
        </w:rPr>
        <w:t xml:space="preserve"> § 812(b</w:t>
      </w:r>
      <w:proofErr w:type="gramStart"/>
      <w:r w:rsidRPr="00851945">
        <w:rPr>
          <w:rFonts w:ascii="Arial" w:eastAsia="Times New Roman" w:hAnsi="Arial" w:cs="Arial"/>
          <w:color w:val="222222"/>
          <w:sz w:val="23"/>
          <w:szCs w:val="23"/>
        </w:rPr>
        <w:t>)(</w:t>
      </w:r>
      <w:proofErr w:type="gramEnd"/>
      <w:r w:rsidRPr="00851945">
        <w:rPr>
          <w:rFonts w:ascii="Arial" w:eastAsia="Times New Roman" w:hAnsi="Arial" w:cs="Arial"/>
          <w:color w:val="222222"/>
          <w:sz w:val="23"/>
          <w:szCs w:val="23"/>
        </w:rPr>
        <w:t xml:space="preserve">1). These three factors, in varying gradations, are also used to categorize drugs in the other four schedules. For example, Schedule II substances also have a high potential for abuse which may lead to severe psychological </w:t>
      </w:r>
      <w:hyperlink r:id="rId37" w:anchor="p527" w:history="1">
        <w:r w:rsidRPr="00851945">
          <w:rPr>
            <w:rFonts w:ascii="Arial" w:eastAsia="Times New Roman" w:hAnsi="Arial" w:cs="Arial"/>
            <w:color w:val="AAAAAA"/>
            <w:sz w:val="20"/>
            <w:szCs w:val="20"/>
            <w:shd w:val="clear" w:color="auto" w:fill="FFFFFF"/>
          </w:rPr>
          <w:t>527</w:t>
        </w:r>
      </w:hyperlink>
      <w:hyperlink r:id="rId38" w:anchor="p527" w:history="1">
        <w:r w:rsidRPr="00851945">
          <w:rPr>
            <w:rFonts w:ascii="Arial" w:eastAsia="Times New Roman" w:hAnsi="Arial" w:cs="Arial"/>
            <w:color w:val="AAAAAA"/>
            <w:sz w:val="20"/>
            <w:szCs w:val="20"/>
          </w:rPr>
          <w:t>*527</w:t>
        </w:r>
      </w:hyperlink>
      <w:r w:rsidRPr="00851945">
        <w:rPr>
          <w:rFonts w:ascii="Arial" w:eastAsia="Times New Roman" w:hAnsi="Arial" w:cs="Arial"/>
          <w:color w:val="222222"/>
          <w:sz w:val="23"/>
          <w:szCs w:val="23"/>
        </w:rPr>
        <w:t xml:space="preserve"> or physical dependence, but unlike Schedule I drugs, they have a currently accepted medical use. </w:t>
      </w:r>
      <w:proofErr w:type="gramStart"/>
      <w:r w:rsidRPr="00851945">
        <w:rPr>
          <w:rFonts w:ascii="Arial" w:eastAsia="Times New Roman" w:hAnsi="Arial" w:cs="Arial"/>
          <w:color w:val="222222"/>
          <w:sz w:val="23"/>
          <w:szCs w:val="23"/>
        </w:rPr>
        <w:t>[21 U.S.C.]</w:t>
      </w:r>
      <w:proofErr w:type="gramEnd"/>
      <w:r w:rsidRPr="00851945">
        <w:rPr>
          <w:rFonts w:ascii="Arial" w:eastAsia="Times New Roman" w:hAnsi="Arial" w:cs="Arial"/>
          <w:color w:val="222222"/>
          <w:sz w:val="23"/>
          <w:szCs w:val="23"/>
        </w:rPr>
        <w:t xml:space="preserve"> </w:t>
      </w:r>
      <w:proofErr w:type="gramStart"/>
      <w:r w:rsidRPr="00851945">
        <w:rPr>
          <w:rFonts w:ascii="Arial" w:eastAsia="Times New Roman" w:hAnsi="Arial" w:cs="Arial"/>
          <w:color w:val="222222"/>
          <w:sz w:val="23"/>
          <w:szCs w:val="23"/>
        </w:rPr>
        <w:t>§ 812(b)."</w:t>
      </w:r>
      <w:proofErr w:type="gramEnd"/>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i/>
          <w:iCs/>
          <w:color w:val="222222"/>
          <w:sz w:val="23"/>
          <w:szCs w:val="23"/>
        </w:rPr>
        <w:t>Id.</w:t>
      </w:r>
      <w:r w:rsidRPr="00851945">
        <w:rPr>
          <w:rFonts w:ascii="Arial" w:eastAsia="Times New Roman" w:hAnsi="Arial" w:cs="Arial"/>
          <w:color w:val="222222"/>
          <w:sz w:val="23"/>
          <w:szCs w:val="23"/>
        </w:rPr>
        <w:t xml:space="preserve"> at 14, </w:t>
      </w:r>
      <w:hyperlink r:id="rId39" w:history="1">
        <w:r w:rsidRPr="00851945">
          <w:rPr>
            <w:rFonts w:ascii="Arial" w:eastAsia="Times New Roman" w:hAnsi="Arial" w:cs="Arial"/>
            <w:color w:val="1A0DAB"/>
            <w:sz w:val="23"/>
            <w:szCs w:val="23"/>
            <w:u w:val="single"/>
          </w:rPr>
          <w:t xml:space="preserve">125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2195</w:t>
        </w:r>
      </w:hyperlink>
      <w:r w:rsidRPr="00851945">
        <w:rPr>
          <w:rFonts w:ascii="Arial" w:eastAsia="Times New Roman" w:hAnsi="Arial" w:cs="Arial"/>
          <w:color w:val="222222"/>
          <w:sz w:val="23"/>
          <w:szCs w:val="23"/>
        </w:rPr>
        <w:t xml:space="preserve">. Consistent with Congress's determination that the controlled substances listed in Schedule II through V have currently accepted medical uses, the Controlled Substances Act authorizes physicians to prescribe those substances for medical use, provided that they do so within the bounds of professional practice. </w:t>
      </w:r>
      <w:r w:rsidRPr="00851945">
        <w:rPr>
          <w:rFonts w:ascii="Arial" w:eastAsia="Times New Roman" w:hAnsi="Arial" w:cs="Arial"/>
          <w:i/>
          <w:iCs/>
          <w:color w:val="222222"/>
          <w:sz w:val="23"/>
          <w:szCs w:val="23"/>
        </w:rPr>
        <w:t xml:space="preserve">See </w:t>
      </w:r>
      <w:hyperlink r:id="rId40" w:history="1">
        <w:r w:rsidRPr="00851945">
          <w:rPr>
            <w:rFonts w:ascii="Arial" w:eastAsia="Times New Roman" w:hAnsi="Arial" w:cs="Arial"/>
            <w:i/>
            <w:iCs/>
            <w:color w:val="1A0DAB"/>
            <w:sz w:val="23"/>
            <w:szCs w:val="23"/>
            <w:u w:val="single"/>
          </w:rPr>
          <w:t>United States v. Moore,</w:t>
        </w:r>
        <w:r w:rsidRPr="00851945">
          <w:rPr>
            <w:rFonts w:ascii="Arial" w:eastAsia="Times New Roman" w:hAnsi="Arial" w:cs="Arial"/>
            <w:color w:val="1A0DAB"/>
            <w:sz w:val="23"/>
            <w:szCs w:val="23"/>
            <w:u w:val="single"/>
          </w:rPr>
          <w:t xml:space="preserve"> 423 U.S. 122, 142-43, 96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xml:space="preserve">. 335, </w:t>
        </w:r>
        <w:proofErr w:type="gramStart"/>
        <w:r w:rsidRPr="00851945">
          <w:rPr>
            <w:rFonts w:ascii="Arial" w:eastAsia="Times New Roman" w:hAnsi="Arial" w:cs="Arial"/>
            <w:color w:val="1A0DAB"/>
            <w:sz w:val="23"/>
            <w:szCs w:val="23"/>
            <w:u w:val="single"/>
          </w:rPr>
          <w:t>46 L.Ed.2d 333</w:t>
        </w:r>
        <w:proofErr w:type="gramEnd"/>
        <w:r w:rsidRPr="00851945">
          <w:rPr>
            <w:rFonts w:ascii="Arial" w:eastAsia="Times New Roman" w:hAnsi="Arial" w:cs="Arial"/>
            <w:color w:val="1A0DAB"/>
            <w:sz w:val="23"/>
            <w:szCs w:val="23"/>
            <w:u w:val="single"/>
          </w:rPr>
          <w:t xml:space="preserve"> (1975)</w:t>
        </w:r>
      </w:hyperlink>
      <w:r w:rsidRPr="00851945">
        <w:rPr>
          <w:rFonts w:ascii="Arial" w:eastAsia="Times New Roman" w:hAnsi="Arial" w:cs="Arial"/>
          <w:color w:val="222222"/>
          <w:sz w:val="23"/>
          <w:szCs w:val="23"/>
        </w:rPr>
        <w:t>.</w:t>
      </w:r>
      <w:bookmarkStart w:id="12" w:name="r[13]"/>
      <w:r w:rsidRPr="00851945">
        <w:rPr>
          <w:rFonts w:ascii="Arial" w:eastAsia="Times New Roman" w:hAnsi="Arial" w:cs="Arial"/>
          <w:color w:val="222222"/>
          <w:sz w:val="23"/>
          <w:szCs w:val="23"/>
          <w:vertAlign w:val="superscript"/>
        </w:rPr>
        <w:fldChar w:fldCharType="begin"/>
      </w:r>
      <w:r w:rsidRPr="00851945">
        <w:rPr>
          <w:rFonts w:ascii="Arial" w:eastAsia="Times New Roman" w:hAnsi="Arial" w:cs="Arial"/>
          <w:color w:val="222222"/>
          <w:sz w:val="23"/>
          <w:szCs w:val="23"/>
          <w:vertAlign w:val="superscript"/>
        </w:rPr>
        <w:instrText xml:space="preserve"> HYPERLINK "http://scholar.google.com/scholar_case?case=12394314758738904678&amp;q=emerald+marijuana&amp;hl=en&amp;as_sdt=4,38" \l "[13]" </w:instrText>
      </w:r>
      <w:r w:rsidRPr="00851945">
        <w:rPr>
          <w:rFonts w:ascii="Arial" w:eastAsia="Times New Roman" w:hAnsi="Arial" w:cs="Arial"/>
          <w:color w:val="222222"/>
          <w:sz w:val="23"/>
          <w:szCs w:val="23"/>
          <w:vertAlign w:val="superscript"/>
        </w:rPr>
        <w:fldChar w:fldCharType="separate"/>
      </w:r>
      <w:r w:rsidRPr="00851945">
        <w:rPr>
          <w:rFonts w:ascii="Arial" w:eastAsia="Times New Roman" w:hAnsi="Arial" w:cs="Arial"/>
          <w:color w:val="1A0DAB"/>
          <w:sz w:val="23"/>
          <w:szCs w:val="23"/>
          <w:u w:val="single"/>
          <w:vertAlign w:val="superscript"/>
        </w:rPr>
        <w:t>[13]</w:t>
      </w:r>
      <w:r w:rsidRPr="00851945">
        <w:rPr>
          <w:rFonts w:ascii="Arial" w:eastAsia="Times New Roman" w:hAnsi="Arial" w:cs="Arial"/>
          <w:color w:val="222222"/>
          <w:sz w:val="23"/>
          <w:szCs w:val="23"/>
          <w:vertAlign w:val="superscript"/>
        </w:rPr>
        <w:fldChar w:fldCharType="end"/>
      </w:r>
      <w:bookmarkEnd w:id="12"/>
      <w:r w:rsidRPr="00851945">
        <w:rPr>
          <w:rFonts w:ascii="Arial" w:eastAsia="Times New Roman" w:hAnsi="Arial" w:cs="Arial"/>
          <w:color w:val="222222"/>
          <w:sz w:val="23"/>
          <w:szCs w:val="23"/>
        </w:rPr>
        <w:t xml:space="preserve"> By contrast, because Schedule I controlled substances lack any accepted medical use, federal law prohibits </w:t>
      </w:r>
      <w:r w:rsidRPr="00851945">
        <w:rPr>
          <w:rFonts w:ascii="Arial" w:eastAsia="Times New Roman" w:hAnsi="Arial" w:cs="Arial"/>
          <w:i/>
          <w:iCs/>
          <w:color w:val="222222"/>
          <w:sz w:val="23"/>
          <w:szCs w:val="23"/>
        </w:rPr>
        <w:t>all</w:t>
      </w:r>
      <w:r w:rsidRPr="00851945">
        <w:rPr>
          <w:rFonts w:ascii="Arial" w:eastAsia="Times New Roman" w:hAnsi="Arial" w:cs="Arial"/>
          <w:color w:val="222222"/>
          <w:sz w:val="23"/>
          <w:szCs w:val="23"/>
        </w:rPr>
        <w:t xml:space="preserve"> use of those drugs "with the sole exception being use of [Schedule I] drug[s] as part of a Food and Drug Administration preapproved research project." </w:t>
      </w:r>
      <w:hyperlink r:id="rId41" w:history="1">
        <w:proofErr w:type="spellStart"/>
        <w:r w:rsidRPr="00851945">
          <w:rPr>
            <w:rFonts w:ascii="Arial" w:eastAsia="Times New Roman" w:hAnsi="Arial" w:cs="Arial"/>
            <w:i/>
            <w:iCs/>
            <w:color w:val="1A0DAB"/>
            <w:sz w:val="23"/>
            <w:szCs w:val="23"/>
            <w:u w:val="single"/>
          </w:rPr>
          <w:t>Raich</w:t>
        </w:r>
        <w:proofErr w:type="spellEnd"/>
        <w:r w:rsidRPr="00851945">
          <w:rPr>
            <w:rFonts w:ascii="Arial" w:eastAsia="Times New Roman" w:hAnsi="Arial" w:cs="Arial"/>
            <w:i/>
            <w:iCs/>
            <w:color w:val="1A0DAB"/>
            <w:sz w:val="23"/>
            <w:szCs w:val="23"/>
            <w:u w:val="single"/>
          </w:rPr>
          <w:t>,</w:t>
        </w:r>
        <w:r w:rsidRPr="00851945">
          <w:rPr>
            <w:rFonts w:ascii="Arial" w:eastAsia="Times New Roman" w:hAnsi="Arial" w:cs="Arial"/>
            <w:color w:val="1A0DAB"/>
            <w:sz w:val="23"/>
            <w:szCs w:val="23"/>
            <w:u w:val="single"/>
          </w:rPr>
          <w:t xml:space="preserve"> 545 U.S. at 14, 125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2195</w:t>
        </w:r>
      </w:hyperlink>
      <w:r w:rsidRPr="00851945">
        <w:rPr>
          <w:rFonts w:ascii="Arial" w:eastAsia="Times New Roman" w:hAnsi="Arial" w:cs="Arial"/>
          <w:color w:val="222222"/>
          <w:sz w:val="23"/>
          <w:szCs w:val="23"/>
        </w:rPr>
        <w:t xml:space="preserve">; </w:t>
      </w:r>
      <w:r w:rsidRPr="00851945">
        <w:rPr>
          <w:rFonts w:ascii="Arial" w:eastAsia="Times New Roman" w:hAnsi="Arial" w:cs="Arial"/>
          <w:i/>
          <w:iCs/>
          <w:color w:val="222222"/>
          <w:sz w:val="23"/>
          <w:szCs w:val="23"/>
        </w:rPr>
        <w:t>see</w:t>
      </w:r>
      <w:r w:rsidRPr="00851945">
        <w:rPr>
          <w:rFonts w:ascii="Arial" w:eastAsia="Times New Roman" w:hAnsi="Arial" w:cs="Arial"/>
          <w:color w:val="222222"/>
          <w:sz w:val="23"/>
          <w:szCs w:val="23"/>
        </w:rPr>
        <w:t xml:space="preserve"> 21 U.S.C. § 823(f) (recognizing that exception for the use of Schedule I drugs).</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Congress has classified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as a Schedule I drug, 21 U.S.C. § 812(c), and federal law prohibits its manufacture, distribution, and possession, 21 U.S.C. § 841(a</w:t>
      </w:r>
      <w:proofErr w:type="gramStart"/>
      <w:r w:rsidRPr="00851945">
        <w:rPr>
          <w:rFonts w:ascii="Arial" w:eastAsia="Times New Roman" w:hAnsi="Arial" w:cs="Arial"/>
          <w:color w:val="222222"/>
          <w:sz w:val="23"/>
          <w:szCs w:val="23"/>
        </w:rPr>
        <w:t>)(</w:t>
      </w:r>
      <w:proofErr w:type="gramEnd"/>
      <w:r w:rsidRPr="00851945">
        <w:rPr>
          <w:rFonts w:ascii="Arial" w:eastAsia="Times New Roman" w:hAnsi="Arial" w:cs="Arial"/>
          <w:color w:val="222222"/>
          <w:sz w:val="23"/>
          <w:szCs w:val="23"/>
        </w:rPr>
        <w:t xml:space="preserve">1). Categorizing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as a Schedule I drug reflects Congress's conclusion that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"lack[s] any accepted medical use, and [that there is an] absence of any accepted safety for use in medically supervised treatment." </w:t>
      </w:r>
      <w:hyperlink r:id="rId42" w:history="1">
        <w:proofErr w:type="spellStart"/>
        <w:r w:rsidRPr="00851945">
          <w:rPr>
            <w:rFonts w:ascii="Arial" w:eastAsia="Times New Roman" w:hAnsi="Arial" w:cs="Arial"/>
            <w:i/>
            <w:iCs/>
            <w:color w:val="1A0DAB"/>
            <w:sz w:val="23"/>
            <w:szCs w:val="23"/>
            <w:u w:val="single"/>
          </w:rPr>
          <w:t>Raich</w:t>
        </w:r>
        <w:proofErr w:type="spellEnd"/>
        <w:r w:rsidRPr="00851945">
          <w:rPr>
            <w:rFonts w:ascii="Arial" w:eastAsia="Times New Roman" w:hAnsi="Arial" w:cs="Arial"/>
            <w:i/>
            <w:iCs/>
            <w:color w:val="1A0DAB"/>
            <w:sz w:val="23"/>
            <w:szCs w:val="23"/>
            <w:u w:val="single"/>
          </w:rPr>
          <w:t>,</w:t>
        </w:r>
        <w:r w:rsidRPr="00851945">
          <w:rPr>
            <w:rFonts w:ascii="Arial" w:eastAsia="Times New Roman" w:hAnsi="Arial" w:cs="Arial"/>
            <w:color w:val="1A0DAB"/>
            <w:sz w:val="23"/>
            <w:szCs w:val="23"/>
            <w:u w:val="single"/>
          </w:rPr>
          <w:t xml:space="preserve"> 545 U.S. at 14, 125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xml:space="preserve">. </w:t>
        </w:r>
        <w:r w:rsidRPr="00851945">
          <w:rPr>
            <w:rFonts w:ascii="Arial" w:eastAsia="Times New Roman" w:hAnsi="Arial" w:cs="Arial"/>
            <w:color w:val="1A0DAB"/>
            <w:sz w:val="23"/>
            <w:szCs w:val="23"/>
            <w:u w:val="single"/>
          </w:rPr>
          <w:lastRenderedPageBreak/>
          <w:t>2195</w:t>
        </w:r>
      </w:hyperlink>
      <w:r w:rsidRPr="00851945">
        <w:rPr>
          <w:rFonts w:ascii="Arial" w:eastAsia="Times New Roman" w:hAnsi="Arial" w:cs="Arial"/>
          <w:color w:val="222222"/>
          <w:sz w:val="23"/>
          <w:szCs w:val="23"/>
        </w:rPr>
        <w:t xml:space="preserve"> (citing 21 U.S.C. § 812(b</w:t>
      </w:r>
      <w:proofErr w:type="gramStart"/>
      <w:r w:rsidRPr="00851945">
        <w:rPr>
          <w:rFonts w:ascii="Arial" w:eastAsia="Times New Roman" w:hAnsi="Arial" w:cs="Arial"/>
          <w:color w:val="222222"/>
          <w:sz w:val="23"/>
          <w:szCs w:val="23"/>
        </w:rPr>
        <w:t>)(</w:t>
      </w:r>
      <w:proofErr w:type="gramEnd"/>
      <w:r w:rsidRPr="00851945">
        <w:rPr>
          <w:rFonts w:ascii="Arial" w:eastAsia="Times New Roman" w:hAnsi="Arial" w:cs="Arial"/>
          <w:color w:val="222222"/>
          <w:sz w:val="23"/>
          <w:szCs w:val="23"/>
        </w:rPr>
        <w:t xml:space="preserve">1)). Consistently with that classification, the Court has concluded that the Controlled Substances Act does not contain a "medical necessity" exception that permits the manufacture, distribution, or possession of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for medical treatment. </w:t>
      </w:r>
      <w:hyperlink r:id="rId43" w:history="1">
        <w:proofErr w:type="gramStart"/>
        <w:r w:rsidRPr="00851945">
          <w:rPr>
            <w:rFonts w:ascii="Arial" w:eastAsia="Times New Roman" w:hAnsi="Arial" w:cs="Arial"/>
            <w:i/>
            <w:iCs/>
            <w:color w:val="1A0DAB"/>
            <w:sz w:val="23"/>
            <w:szCs w:val="23"/>
            <w:u w:val="single"/>
          </w:rPr>
          <w:t>Oakland Cannabis Buyers' Cooperative,</w:t>
        </w:r>
        <w:r w:rsidRPr="00851945">
          <w:rPr>
            <w:rFonts w:ascii="Arial" w:eastAsia="Times New Roman" w:hAnsi="Arial" w:cs="Arial"/>
            <w:color w:val="1A0DAB"/>
            <w:sz w:val="23"/>
            <w:szCs w:val="23"/>
            <w:u w:val="single"/>
          </w:rPr>
          <w:t xml:space="preserve"> 532 U.S. at 494</w:t>
        </w:r>
      </w:hyperlink>
      <w:r w:rsidRPr="00851945">
        <w:rPr>
          <w:rFonts w:ascii="Arial" w:eastAsia="Times New Roman" w:hAnsi="Arial" w:cs="Arial"/>
          <w:color w:val="222222"/>
          <w:sz w:val="23"/>
          <w:szCs w:val="23"/>
        </w:rPr>
        <w:t xml:space="preserve"> and n. 7, </w:t>
      </w:r>
      <w:hyperlink r:id="rId44" w:history="1">
        <w:r w:rsidRPr="00851945">
          <w:rPr>
            <w:rFonts w:ascii="Arial" w:eastAsia="Times New Roman" w:hAnsi="Arial" w:cs="Arial"/>
            <w:color w:val="1A0DAB"/>
            <w:sz w:val="23"/>
            <w:szCs w:val="23"/>
            <w:u w:val="single"/>
          </w:rPr>
          <w:t xml:space="preserve">121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1711</w:t>
        </w:r>
      </w:hyperlink>
      <w:r w:rsidRPr="00851945">
        <w:rPr>
          <w:rFonts w:ascii="Arial" w:eastAsia="Times New Roman" w:hAnsi="Arial" w:cs="Arial"/>
          <w:color w:val="222222"/>
          <w:sz w:val="23"/>
          <w:szCs w:val="23"/>
        </w:rPr>
        <w:t>.</w:t>
      </w:r>
      <w:bookmarkStart w:id="13" w:name="r[14]"/>
      <w:proofErr w:type="gramEnd"/>
      <w:r w:rsidRPr="00851945">
        <w:rPr>
          <w:rFonts w:ascii="Arial" w:eastAsia="Times New Roman" w:hAnsi="Arial" w:cs="Arial"/>
          <w:color w:val="222222"/>
          <w:sz w:val="23"/>
          <w:szCs w:val="23"/>
          <w:vertAlign w:val="superscript"/>
        </w:rPr>
        <w:fldChar w:fldCharType="begin"/>
      </w:r>
      <w:r w:rsidRPr="00851945">
        <w:rPr>
          <w:rFonts w:ascii="Arial" w:eastAsia="Times New Roman" w:hAnsi="Arial" w:cs="Arial"/>
          <w:color w:val="222222"/>
          <w:sz w:val="23"/>
          <w:szCs w:val="23"/>
          <w:vertAlign w:val="superscript"/>
        </w:rPr>
        <w:instrText xml:space="preserve"> HYPERLINK "http://scholar.google.com/scholar_case?case=12394314758738904678&amp;q=emerald+marijuana&amp;hl=en&amp;as_sdt=4,38" \l "[14]" </w:instrText>
      </w:r>
      <w:r w:rsidRPr="00851945">
        <w:rPr>
          <w:rFonts w:ascii="Arial" w:eastAsia="Times New Roman" w:hAnsi="Arial" w:cs="Arial"/>
          <w:color w:val="222222"/>
          <w:sz w:val="23"/>
          <w:szCs w:val="23"/>
          <w:vertAlign w:val="superscript"/>
        </w:rPr>
        <w:fldChar w:fldCharType="separate"/>
      </w:r>
      <w:r w:rsidRPr="00851945">
        <w:rPr>
          <w:rFonts w:ascii="Arial" w:eastAsia="Times New Roman" w:hAnsi="Arial" w:cs="Arial"/>
          <w:color w:val="1A0DAB"/>
          <w:sz w:val="23"/>
          <w:szCs w:val="23"/>
          <w:u w:val="single"/>
          <w:vertAlign w:val="superscript"/>
        </w:rPr>
        <w:t>[14]</w:t>
      </w:r>
      <w:r w:rsidRPr="00851945">
        <w:rPr>
          <w:rFonts w:ascii="Arial" w:eastAsia="Times New Roman" w:hAnsi="Arial" w:cs="Arial"/>
          <w:color w:val="222222"/>
          <w:sz w:val="23"/>
          <w:szCs w:val="23"/>
          <w:vertAlign w:val="superscript"/>
        </w:rPr>
        <w:fldChar w:fldCharType="end"/>
      </w:r>
      <w:bookmarkEnd w:id="13"/>
      <w:r w:rsidRPr="00851945">
        <w:rPr>
          <w:rFonts w:ascii="Arial" w:eastAsia="Times New Roman" w:hAnsi="Arial" w:cs="Arial"/>
          <w:color w:val="222222"/>
          <w:sz w:val="23"/>
          <w:szCs w:val="23"/>
        </w:rPr>
        <w:t xml:space="preserve"> Despite efforts to reclassify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it has remained a Schedule I drug since the enactment of the Controlled Substances Act. </w:t>
      </w:r>
      <w:r w:rsidRPr="00851945">
        <w:rPr>
          <w:rFonts w:ascii="Arial" w:eastAsia="Times New Roman" w:hAnsi="Arial" w:cs="Arial"/>
          <w:i/>
          <w:iCs/>
          <w:color w:val="222222"/>
          <w:sz w:val="23"/>
          <w:szCs w:val="23"/>
        </w:rPr>
        <w:t xml:space="preserve">See </w:t>
      </w:r>
      <w:hyperlink r:id="rId45" w:history="1">
        <w:proofErr w:type="spellStart"/>
        <w:r w:rsidRPr="00851945">
          <w:rPr>
            <w:rFonts w:ascii="Arial" w:eastAsia="Times New Roman" w:hAnsi="Arial" w:cs="Arial"/>
            <w:i/>
            <w:iCs/>
            <w:color w:val="1A0DAB"/>
            <w:sz w:val="23"/>
            <w:szCs w:val="23"/>
            <w:u w:val="single"/>
          </w:rPr>
          <w:t>Raich</w:t>
        </w:r>
        <w:proofErr w:type="spellEnd"/>
        <w:r w:rsidRPr="00851945">
          <w:rPr>
            <w:rFonts w:ascii="Arial" w:eastAsia="Times New Roman" w:hAnsi="Arial" w:cs="Arial"/>
            <w:i/>
            <w:iCs/>
            <w:color w:val="1A0DAB"/>
            <w:sz w:val="23"/>
            <w:szCs w:val="23"/>
            <w:u w:val="single"/>
          </w:rPr>
          <w:t>,</w:t>
        </w:r>
        <w:r w:rsidRPr="00851945">
          <w:rPr>
            <w:rFonts w:ascii="Arial" w:eastAsia="Times New Roman" w:hAnsi="Arial" w:cs="Arial"/>
            <w:color w:val="1A0DAB"/>
            <w:sz w:val="23"/>
            <w:szCs w:val="23"/>
            <w:u w:val="single"/>
          </w:rPr>
          <w:t xml:space="preserve"> 545 U.S. at 14</w:t>
        </w:r>
      </w:hyperlink>
      <w:r w:rsidRPr="00851945">
        <w:rPr>
          <w:rFonts w:ascii="Arial" w:eastAsia="Times New Roman" w:hAnsi="Arial" w:cs="Arial"/>
          <w:color w:val="222222"/>
          <w:sz w:val="23"/>
          <w:szCs w:val="23"/>
        </w:rPr>
        <w:t xml:space="preserve">-15 and n. 23, </w:t>
      </w:r>
      <w:hyperlink r:id="rId46" w:history="1">
        <w:r w:rsidRPr="00851945">
          <w:rPr>
            <w:rFonts w:ascii="Arial" w:eastAsia="Times New Roman" w:hAnsi="Arial" w:cs="Arial"/>
            <w:color w:val="1A0DAB"/>
            <w:sz w:val="23"/>
            <w:szCs w:val="23"/>
            <w:u w:val="single"/>
          </w:rPr>
          <w:t xml:space="preserve">125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2195</w:t>
        </w:r>
      </w:hyperlink>
      <w:r w:rsidRPr="00851945">
        <w:rPr>
          <w:rFonts w:ascii="Arial" w:eastAsia="Times New Roman" w:hAnsi="Arial" w:cs="Arial"/>
          <w:color w:val="222222"/>
          <w:sz w:val="23"/>
          <w:szCs w:val="23"/>
        </w:rPr>
        <w:t xml:space="preserve"> (summarizing "considerable efforts," ultimately unsuccessful, to reschedule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Section 903 of the Controlled Substances Act addresses the relationship between that act and state law. It provides:</w:t>
      </w:r>
    </w:p>
    <w:p w:rsidR="00851945" w:rsidRPr="00851945" w:rsidRDefault="00851945" w:rsidP="00851945">
      <w:pPr>
        <w:shd w:val="clear" w:color="auto" w:fill="FFFFFF"/>
        <w:spacing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"No provision of this subchapter shall be construed as indicating an intent on the part of the Congress to occupy the field in which that provision operates, including criminal penalties, to the exclusion of any State law on the same subject matter which would otherwise be within the authority of the State, unless there is a positive conflict between that provision of this subchapter and that State law so that the two cannot consistently stand together."</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proofErr w:type="gramStart"/>
      <w:r w:rsidRPr="00851945">
        <w:rPr>
          <w:rFonts w:ascii="Arial" w:eastAsia="Times New Roman" w:hAnsi="Arial" w:cs="Arial"/>
          <w:color w:val="222222"/>
          <w:sz w:val="23"/>
          <w:szCs w:val="23"/>
        </w:rPr>
        <w:t>21 U.S.C. § 903.</w:t>
      </w:r>
      <w:proofErr w:type="gramEnd"/>
      <w:r w:rsidRPr="00851945">
        <w:rPr>
          <w:rFonts w:ascii="Arial" w:eastAsia="Times New Roman" w:hAnsi="Arial" w:cs="Arial"/>
          <w:color w:val="222222"/>
          <w:sz w:val="23"/>
          <w:szCs w:val="23"/>
        </w:rPr>
        <w:t xml:space="preserve"> Under the terms of section 903, states are free to pass laws "on the same subject matter" as the Controlled Substances Act unless there is a "positive conflict" between state and federal law "so that the two cannot consistently stand together."</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When faced with a comparable preemption provision, the Court recently engaged in an implied preemption analysis to determine whether a federal statute preempted state law. </w:t>
      </w:r>
      <w:hyperlink r:id="rId47" w:history="1">
        <w:proofErr w:type="gramStart"/>
        <w:r w:rsidRPr="00851945">
          <w:rPr>
            <w:rFonts w:ascii="Arial" w:eastAsia="Times New Roman" w:hAnsi="Arial" w:cs="Arial"/>
            <w:i/>
            <w:iCs/>
            <w:color w:val="1A0DAB"/>
            <w:sz w:val="23"/>
            <w:szCs w:val="23"/>
            <w:u w:val="single"/>
          </w:rPr>
          <w:t>Wyeth v. Levine,</w:t>
        </w:r>
        <w:r w:rsidRPr="00851945">
          <w:rPr>
            <w:rFonts w:ascii="Arial" w:eastAsia="Times New Roman" w:hAnsi="Arial" w:cs="Arial"/>
            <w:color w:val="1A0DAB"/>
            <w:sz w:val="23"/>
            <w:szCs w:val="23"/>
            <w:u w:val="single"/>
          </w:rPr>
          <w:t xml:space="preserve"> ___ U.S. ___, ___, 129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1187, 1196-1200, 173 L.Ed.2d 51 (2009)</w:t>
        </w:r>
      </w:hyperlink>
      <w:r w:rsidRPr="00851945">
        <w:rPr>
          <w:rFonts w:ascii="Arial" w:eastAsia="Times New Roman" w:hAnsi="Arial" w:cs="Arial"/>
          <w:color w:val="222222"/>
          <w:sz w:val="23"/>
          <w:szCs w:val="23"/>
        </w:rPr>
        <w:t>.</w:t>
      </w:r>
      <w:bookmarkStart w:id="14" w:name="r[15]"/>
      <w:proofErr w:type="gramEnd"/>
      <w:r w:rsidRPr="00851945">
        <w:rPr>
          <w:rFonts w:ascii="Arial" w:eastAsia="Times New Roman" w:hAnsi="Arial" w:cs="Arial"/>
          <w:color w:val="222222"/>
          <w:sz w:val="23"/>
          <w:szCs w:val="23"/>
          <w:vertAlign w:val="superscript"/>
        </w:rPr>
        <w:fldChar w:fldCharType="begin"/>
      </w:r>
      <w:r w:rsidRPr="00851945">
        <w:rPr>
          <w:rFonts w:ascii="Arial" w:eastAsia="Times New Roman" w:hAnsi="Arial" w:cs="Arial"/>
          <w:color w:val="222222"/>
          <w:sz w:val="23"/>
          <w:szCs w:val="23"/>
          <w:vertAlign w:val="superscript"/>
        </w:rPr>
        <w:instrText xml:space="preserve"> HYPERLINK "http://scholar.google.com/scholar_case?case=12394314758738904678&amp;q=emerald+marijuana&amp;hl=en&amp;as_sdt=4,38" \l "[15]" </w:instrText>
      </w:r>
      <w:r w:rsidRPr="00851945">
        <w:rPr>
          <w:rFonts w:ascii="Arial" w:eastAsia="Times New Roman" w:hAnsi="Arial" w:cs="Arial"/>
          <w:color w:val="222222"/>
          <w:sz w:val="23"/>
          <w:szCs w:val="23"/>
          <w:vertAlign w:val="superscript"/>
        </w:rPr>
        <w:fldChar w:fldCharType="separate"/>
      </w:r>
      <w:r w:rsidRPr="00851945">
        <w:rPr>
          <w:rFonts w:ascii="Arial" w:eastAsia="Times New Roman" w:hAnsi="Arial" w:cs="Arial"/>
          <w:color w:val="1A0DAB"/>
          <w:sz w:val="23"/>
          <w:szCs w:val="23"/>
          <w:u w:val="single"/>
          <w:vertAlign w:val="superscript"/>
        </w:rPr>
        <w:t>[15]</w:t>
      </w:r>
      <w:r w:rsidRPr="00851945">
        <w:rPr>
          <w:rFonts w:ascii="Arial" w:eastAsia="Times New Roman" w:hAnsi="Arial" w:cs="Arial"/>
          <w:color w:val="222222"/>
          <w:sz w:val="23"/>
          <w:szCs w:val="23"/>
          <w:vertAlign w:val="superscript"/>
        </w:rPr>
        <w:fldChar w:fldCharType="end"/>
      </w:r>
      <w:bookmarkEnd w:id="14"/>
      <w:r w:rsidRPr="00851945">
        <w:rPr>
          <w:rFonts w:ascii="Arial" w:eastAsia="Times New Roman" w:hAnsi="Arial" w:cs="Arial"/>
          <w:color w:val="222222"/>
          <w:sz w:val="23"/>
          <w:szCs w:val="23"/>
        </w:rPr>
        <w:t xml:space="preserve"> That is, the Court asked whether </w:t>
      </w:r>
      <w:hyperlink r:id="rId48" w:anchor="p528" w:history="1">
        <w:r w:rsidRPr="00851945">
          <w:rPr>
            <w:rFonts w:ascii="Arial" w:eastAsia="Times New Roman" w:hAnsi="Arial" w:cs="Arial"/>
            <w:color w:val="AAAAAA"/>
            <w:sz w:val="20"/>
            <w:szCs w:val="20"/>
            <w:shd w:val="clear" w:color="auto" w:fill="FFFFFF"/>
          </w:rPr>
          <w:t>528</w:t>
        </w:r>
      </w:hyperlink>
      <w:hyperlink r:id="rId49" w:anchor="p528" w:history="1">
        <w:r w:rsidRPr="00851945">
          <w:rPr>
            <w:rFonts w:ascii="Arial" w:eastAsia="Times New Roman" w:hAnsi="Arial" w:cs="Arial"/>
            <w:color w:val="AAAAAA"/>
            <w:sz w:val="20"/>
            <w:szCs w:val="20"/>
          </w:rPr>
          <w:t>*528</w:t>
        </w:r>
      </w:hyperlink>
      <w:r w:rsidRPr="00851945">
        <w:rPr>
          <w:rFonts w:ascii="Arial" w:eastAsia="Times New Roman" w:hAnsi="Arial" w:cs="Arial"/>
          <w:color w:val="222222"/>
          <w:sz w:val="23"/>
          <w:szCs w:val="23"/>
        </w:rPr>
        <w:t xml:space="preserve"> there is an "actual conflict" between state and federal law. An actual conflict will exist either when it is physically impossible to comply with both state and federal law or when state law "`stands as an obstacle to the accomplishment and execution of the full purposes and objectives of Congress.'" </w:t>
      </w:r>
      <w:hyperlink r:id="rId50" w:history="1">
        <w:r w:rsidRPr="00851945">
          <w:rPr>
            <w:rFonts w:ascii="Arial" w:eastAsia="Times New Roman" w:hAnsi="Arial" w:cs="Arial"/>
            <w:i/>
            <w:iCs/>
            <w:color w:val="1A0DAB"/>
            <w:sz w:val="23"/>
            <w:szCs w:val="23"/>
            <w:u w:val="single"/>
          </w:rPr>
          <w:t>Freightliner Corp.,</w:t>
        </w:r>
        <w:r w:rsidRPr="00851945">
          <w:rPr>
            <w:rFonts w:ascii="Arial" w:eastAsia="Times New Roman" w:hAnsi="Arial" w:cs="Arial"/>
            <w:color w:val="1A0DAB"/>
            <w:sz w:val="23"/>
            <w:szCs w:val="23"/>
            <w:u w:val="single"/>
          </w:rPr>
          <w:t xml:space="preserve"> 514 U.S. at 287, 115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1483</w:t>
        </w:r>
      </w:hyperlink>
      <w:r w:rsidRPr="00851945">
        <w:rPr>
          <w:rFonts w:ascii="Arial" w:eastAsia="Times New Roman" w:hAnsi="Arial" w:cs="Arial"/>
          <w:color w:val="222222"/>
          <w:sz w:val="23"/>
          <w:szCs w:val="23"/>
        </w:rPr>
        <w:t xml:space="preserve"> (quoting </w:t>
      </w:r>
      <w:hyperlink r:id="rId51" w:history="1">
        <w:r w:rsidRPr="00851945">
          <w:rPr>
            <w:rFonts w:ascii="Arial" w:eastAsia="Times New Roman" w:hAnsi="Arial" w:cs="Arial"/>
            <w:i/>
            <w:iCs/>
            <w:color w:val="1A0DAB"/>
            <w:sz w:val="23"/>
            <w:szCs w:val="23"/>
            <w:u w:val="single"/>
          </w:rPr>
          <w:t xml:space="preserve">Hines v. </w:t>
        </w:r>
        <w:proofErr w:type="spellStart"/>
        <w:r w:rsidRPr="00851945">
          <w:rPr>
            <w:rFonts w:ascii="Arial" w:eastAsia="Times New Roman" w:hAnsi="Arial" w:cs="Arial"/>
            <w:i/>
            <w:iCs/>
            <w:color w:val="1A0DAB"/>
            <w:sz w:val="23"/>
            <w:szCs w:val="23"/>
            <w:u w:val="single"/>
          </w:rPr>
          <w:t>Davidowitz</w:t>
        </w:r>
        <w:proofErr w:type="spellEnd"/>
        <w:r w:rsidRPr="00851945">
          <w:rPr>
            <w:rFonts w:ascii="Arial" w:eastAsia="Times New Roman" w:hAnsi="Arial" w:cs="Arial"/>
            <w:i/>
            <w:iCs/>
            <w:color w:val="1A0DAB"/>
            <w:sz w:val="23"/>
            <w:szCs w:val="23"/>
            <w:u w:val="single"/>
          </w:rPr>
          <w:t>,</w:t>
        </w:r>
        <w:r w:rsidRPr="00851945">
          <w:rPr>
            <w:rFonts w:ascii="Arial" w:eastAsia="Times New Roman" w:hAnsi="Arial" w:cs="Arial"/>
            <w:color w:val="1A0DAB"/>
            <w:sz w:val="23"/>
            <w:szCs w:val="23"/>
            <w:u w:val="single"/>
          </w:rPr>
          <w:t xml:space="preserve"> 312 U.S. 52, 67, 61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xml:space="preserve">. 399, 85 </w:t>
        </w:r>
        <w:proofErr w:type="spellStart"/>
        <w:r w:rsidRPr="00851945">
          <w:rPr>
            <w:rFonts w:ascii="Arial" w:eastAsia="Times New Roman" w:hAnsi="Arial" w:cs="Arial"/>
            <w:color w:val="1A0DAB"/>
            <w:sz w:val="23"/>
            <w:szCs w:val="23"/>
            <w:u w:val="single"/>
          </w:rPr>
          <w:t>L.Ed</w:t>
        </w:r>
        <w:proofErr w:type="spellEnd"/>
        <w:r w:rsidRPr="00851945">
          <w:rPr>
            <w:rFonts w:ascii="Arial" w:eastAsia="Times New Roman" w:hAnsi="Arial" w:cs="Arial"/>
            <w:color w:val="1A0DAB"/>
            <w:sz w:val="23"/>
            <w:szCs w:val="23"/>
            <w:u w:val="single"/>
          </w:rPr>
          <w:t>. 581 (1941)</w:t>
        </w:r>
      </w:hyperlink>
      <w:r w:rsidRPr="00851945">
        <w:rPr>
          <w:rFonts w:ascii="Arial" w:eastAsia="Times New Roman" w:hAnsi="Arial" w:cs="Arial"/>
          <w:color w:val="222222"/>
          <w:sz w:val="23"/>
          <w:szCs w:val="23"/>
        </w:rPr>
        <w:t>).</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The Court has applied the physical impossibility prong narrowly. </w:t>
      </w:r>
      <w:hyperlink r:id="rId52" w:history="1">
        <w:proofErr w:type="gramStart"/>
        <w:r w:rsidRPr="00851945">
          <w:rPr>
            <w:rFonts w:ascii="Arial" w:eastAsia="Times New Roman" w:hAnsi="Arial" w:cs="Arial"/>
            <w:i/>
            <w:iCs/>
            <w:color w:val="1A0DAB"/>
            <w:sz w:val="23"/>
            <w:szCs w:val="23"/>
            <w:u w:val="single"/>
          </w:rPr>
          <w:t>Wyeth,</w:t>
        </w:r>
        <w:r w:rsidRPr="00851945">
          <w:rPr>
            <w:rFonts w:ascii="Arial" w:eastAsia="Times New Roman" w:hAnsi="Arial" w:cs="Arial"/>
            <w:color w:val="1A0DAB"/>
            <w:sz w:val="23"/>
            <w:szCs w:val="23"/>
            <w:u w:val="single"/>
          </w:rPr>
          <w:t xml:space="preserve"> 129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at 1199</w:t>
        </w:r>
      </w:hyperlink>
      <w:r w:rsidRPr="00851945">
        <w:rPr>
          <w:rFonts w:ascii="Arial" w:eastAsia="Times New Roman" w:hAnsi="Arial" w:cs="Arial"/>
          <w:color w:val="222222"/>
          <w:sz w:val="23"/>
          <w:szCs w:val="23"/>
        </w:rPr>
        <w:t xml:space="preserve"> (so stating); </w:t>
      </w:r>
      <w:r w:rsidRPr="00851945">
        <w:rPr>
          <w:rFonts w:ascii="Arial" w:eastAsia="Times New Roman" w:hAnsi="Arial" w:cs="Arial"/>
          <w:i/>
          <w:iCs/>
          <w:color w:val="222222"/>
          <w:sz w:val="23"/>
          <w:szCs w:val="23"/>
        </w:rPr>
        <w:t>id.</w:t>
      </w:r>
      <w:proofErr w:type="gramEnd"/>
      <w:r w:rsidRPr="00851945">
        <w:rPr>
          <w:rFonts w:ascii="Arial" w:eastAsia="Times New Roman" w:hAnsi="Arial" w:cs="Arial"/>
          <w:color w:val="222222"/>
          <w:sz w:val="23"/>
          <w:szCs w:val="23"/>
        </w:rPr>
        <w:t xml:space="preserve"> </w:t>
      </w:r>
      <w:proofErr w:type="gramStart"/>
      <w:r w:rsidRPr="00851945">
        <w:rPr>
          <w:rFonts w:ascii="Arial" w:eastAsia="Times New Roman" w:hAnsi="Arial" w:cs="Arial"/>
          <w:color w:val="222222"/>
          <w:sz w:val="23"/>
          <w:szCs w:val="23"/>
        </w:rPr>
        <w:t>at</w:t>
      </w:r>
      <w:proofErr w:type="gramEnd"/>
      <w:r w:rsidRPr="00851945">
        <w:rPr>
          <w:rFonts w:ascii="Arial" w:eastAsia="Times New Roman" w:hAnsi="Arial" w:cs="Arial"/>
          <w:color w:val="222222"/>
          <w:sz w:val="23"/>
          <w:szCs w:val="23"/>
        </w:rPr>
        <w:t xml:space="preserve"> 1209 (Thomas, J., concurring in the judgment).</w:t>
      </w:r>
      <w:bookmarkStart w:id="15" w:name="r[16]"/>
      <w:r w:rsidRPr="00851945">
        <w:rPr>
          <w:rFonts w:ascii="Arial" w:eastAsia="Times New Roman" w:hAnsi="Arial" w:cs="Arial"/>
          <w:color w:val="222222"/>
          <w:sz w:val="23"/>
          <w:szCs w:val="23"/>
          <w:vertAlign w:val="superscript"/>
        </w:rPr>
        <w:fldChar w:fldCharType="begin"/>
      </w:r>
      <w:r w:rsidRPr="00851945">
        <w:rPr>
          <w:rFonts w:ascii="Arial" w:eastAsia="Times New Roman" w:hAnsi="Arial" w:cs="Arial"/>
          <w:color w:val="222222"/>
          <w:sz w:val="23"/>
          <w:szCs w:val="23"/>
          <w:vertAlign w:val="superscript"/>
        </w:rPr>
        <w:instrText xml:space="preserve"> HYPERLINK "http://scholar.google.com/scholar_case?case=12394314758738904678&amp;q=emerald+marijuana&amp;hl=en&amp;as_sdt=4,38" \l "[16]" </w:instrText>
      </w:r>
      <w:r w:rsidRPr="00851945">
        <w:rPr>
          <w:rFonts w:ascii="Arial" w:eastAsia="Times New Roman" w:hAnsi="Arial" w:cs="Arial"/>
          <w:color w:val="222222"/>
          <w:sz w:val="23"/>
          <w:szCs w:val="23"/>
          <w:vertAlign w:val="superscript"/>
        </w:rPr>
        <w:fldChar w:fldCharType="separate"/>
      </w:r>
      <w:r w:rsidRPr="00851945">
        <w:rPr>
          <w:rFonts w:ascii="Arial" w:eastAsia="Times New Roman" w:hAnsi="Arial" w:cs="Arial"/>
          <w:color w:val="1A0DAB"/>
          <w:sz w:val="23"/>
          <w:szCs w:val="23"/>
          <w:u w:val="single"/>
          <w:vertAlign w:val="superscript"/>
        </w:rPr>
        <w:t>[16]</w:t>
      </w:r>
      <w:r w:rsidRPr="00851945">
        <w:rPr>
          <w:rFonts w:ascii="Arial" w:eastAsia="Times New Roman" w:hAnsi="Arial" w:cs="Arial"/>
          <w:color w:val="222222"/>
          <w:sz w:val="23"/>
          <w:szCs w:val="23"/>
          <w:vertAlign w:val="superscript"/>
        </w:rPr>
        <w:fldChar w:fldCharType="end"/>
      </w:r>
      <w:bookmarkEnd w:id="15"/>
      <w:r w:rsidRPr="00851945">
        <w:rPr>
          <w:rFonts w:ascii="Arial" w:eastAsia="Times New Roman" w:hAnsi="Arial" w:cs="Arial"/>
          <w:color w:val="222222"/>
          <w:sz w:val="23"/>
          <w:szCs w:val="23"/>
        </w:rPr>
        <w:t xml:space="preserve"> For example, in </w:t>
      </w:r>
      <w:hyperlink r:id="rId53" w:history="1">
        <w:r w:rsidRPr="00851945">
          <w:rPr>
            <w:rFonts w:ascii="Arial" w:eastAsia="Times New Roman" w:hAnsi="Arial" w:cs="Arial"/>
            <w:i/>
            <w:iCs/>
            <w:color w:val="1A0DAB"/>
            <w:sz w:val="23"/>
            <w:szCs w:val="23"/>
            <w:u w:val="single"/>
          </w:rPr>
          <w:t>Barnett Bank v. Nelson,</w:t>
        </w:r>
        <w:r w:rsidRPr="00851945">
          <w:rPr>
            <w:rFonts w:ascii="Arial" w:eastAsia="Times New Roman" w:hAnsi="Arial" w:cs="Arial"/>
            <w:color w:val="1A0DAB"/>
            <w:sz w:val="23"/>
            <w:szCs w:val="23"/>
            <w:u w:val="single"/>
          </w:rPr>
          <w:t xml:space="preserve"> 517 U.S. 25, 116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1103, 134 L.Ed.2d 237 (1996),</w:t>
        </w:r>
      </w:hyperlink>
      <w:r w:rsidRPr="00851945">
        <w:rPr>
          <w:rFonts w:ascii="Arial" w:eastAsia="Times New Roman" w:hAnsi="Arial" w:cs="Arial"/>
          <w:color w:val="222222"/>
          <w:sz w:val="23"/>
          <w:szCs w:val="23"/>
        </w:rPr>
        <w:t xml:space="preserve"> the question was whether "a federal statute that permits national banks to sell insurance in small towns pre-empts a state statute that forbids them to do so." </w:t>
      </w:r>
      <w:r w:rsidRPr="00851945">
        <w:rPr>
          <w:rFonts w:ascii="Arial" w:eastAsia="Times New Roman" w:hAnsi="Arial" w:cs="Arial"/>
          <w:i/>
          <w:iCs/>
          <w:color w:val="222222"/>
          <w:sz w:val="23"/>
          <w:szCs w:val="23"/>
        </w:rPr>
        <w:t>Id.</w:t>
      </w:r>
      <w:r w:rsidRPr="00851945">
        <w:rPr>
          <w:rFonts w:ascii="Arial" w:eastAsia="Times New Roman" w:hAnsi="Arial" w:cs="Arial"/>
          <w:color w:val="222222"/>
          <w:sz w:val="23"/>
          <w:szCs w:val="23"/>
        </w:rPr>
        <w:t xml:space="preserve"> at 27, 116 </w:t>
      </w:r>
      <w:proofErr w:type="spellStart"/>
      <w:r w:rsidRPr="00851945">
        <w:rPr>
          <w:rFonts w:ascii="Arial" w:eastAsia="Times New Roman" w:hAnsi="Arial" w:cs="Arial"/>
          <w:color w:val="222222"/>
          <w:sz w:val="23"/>
          <w:szCs w:val="23"/>
        </w:rPr>
        <w:t>S.Ct</w:t>
      </w:r>
      <w:proofErr w:type="spellEnd"/>
      <w:r w:rsidRPr="00851945">
        <w:rPr>
          <w:rFonts w:ascii="Arial" w:eastAsia="Times New Roman" w:hAnsi="Arial" w:cs="Arial"/>
          <w:color w:val="222222"/>
          <w:sz w:val="23"/>
          <w:szCs w:val="23"/>
        </w:rPr>
        <w:t xml:space="preserve">. 1103. Although the two statutes were logically inconsistent, the Court held that it was not physically impossible to comply with both. </w:t>
      </w:r>
      <w:r w:rsidRPr="00851945">
        <w:rPr>
          <w:rFonts w:ascii="Arial" w:eastAsia="Times New Roman" w:hAnsi="Arial" w:cs="Arial"/>
          <w:i/>
          <w:iCs/>
          <w:color w:val="222222"/>
          <w:sz w:val="23"/>
          <w:szCs w:val="23"/>
        </w:rPr>
        <w:t>Id.</w:t>
      </w:r>
      <w:r w:rsidRPr="00851945">
        <w:rPr>
          <w:rFonts w:ascii="Arial" w:eastAsia="Times New Roman" w:hAnsi="Arial" w:cs="Arial"/>
          <w:color w:val="222222"/>
          <w:sz w:val="23"/>
          <w:szCs w:val="23"/>
        </w:rPr>
        <w:t xml:space="preserve"> at 31, 116 </w:t>
      </w:r>
      <w:proofErr w:type="spellStart"/>
      <w:r w:rsidRPr="00851945">
        <w:rPr>
          <w:rFonts w:ascii="Arial" w:eastAsia="Times New Roman" w:hAnsi="Arial" w:cs="Arial"/>
          <w:color w:val="222222"/>
          <w:sz w:val="23"/>
          <w:szCs w:val="23"/>
        </w:rPr>
        <w:t>S.Ct</w:t>
      </w:r>
      <w:proofErr w:type="spellEnd"/>
      <w:r w:rsidRPr="00851945">
        <w:rPr>
          <w:rFonts w:ascii="Arial" w:eastAsia="Times New Roman" w:hAnsi="Arial" w:cs="Arial"/>
          <w:color w:val="222222"/>
          <w:sz w:val="23"/>
          <w:szCs w:val="23"/>
        </w:rPr>
        <w:t xml:space="preserve">. 1103. A national bank could simply refrain from selling insurance. </w:t>
      </w:r>
      <w:r w:rsidRPr="00851945">
        <w:rPr>
          <w:rFonts w:ascii="Arial" w:eastAsia="Times New Roman" w:hAnsi="Arial" w:cs="Arial"/>
          <w:i/>
          <w:iCs/>
          <w:color w:val="222222"/>
          <w:sz w:val="23"/>
          <w:szCs w:val="23"/>
        </w:rPr>
        <w:t xml:space="preserve">See </w:t>
      </w:r>
      <w:hyperlink r:id="rId54" w:history="1">
        <w:r w:rsidRPr="00851945">
          <w:rPr>
            <w:rFonts w:ascii="Arial" w:eastAsia="Times New Roman" w:hAnsi="Arial" w:cs="Arial"/>
            <w:i/>
            <w:iCs/>
            <w:color w:val="1A0DAB"/>
            <w:sz w:val="23"/>
            <w:szCs w:val="23"/>
            <w:u w:val="single"/>
          </w:rPr>
          <w:t>Wyeth,</w:t>
        </w:r>
        <w:r w:rsidRPr="00851945">
          <w:rPr>
            <w:rFonts w:ascii="Arial" w:eastAsia="Times New Roman" w:hAnsi="Arial" w:cs="Arial"/>
            <w:color w:val="1A0DAB"/>
            <w:sz w:val="23"/>
            <w:szCs w:val="23"/>
            <w:u w:val="single"/>
          </w:rPr>
          <w:t xml:space="preserve"> 129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at 1209 (Thomas, J., concurring in the judgment)</w:t>
        </w:r>
      </w:hyperlink>
      <w:r w:rsidRPr="00851945">
        <w:rPr>
          <w:rFonts w:ascii="Arial" w:eastAsia="Times New Roman" w:hAnsi="Arial" w:cs="Arial"/>
          <w:color w:val="222222"/>
          <w:sz w:val="23"/>
          <w:szCs w:val="23"/>
        </w:rPr>
        <w:t xml:space="preserve"> (explaining physical impossibility test).</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Under that reasoning, it is not physically impossible to comply with both the Oregon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Act and the federal Controlled Substances Act. To be sure, the two laws are logically inconsistent; state law authorizes what federal law prohibits. However, a person can comply with both laws by refraining from any use of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in much the same way that a national bank could comply with state and federal law in </w:t>
      </w:r>
      <w:r w:rsidRPr="00851945">
        <w:rPr>
          <w:rFonts w:ascii="Arial" w:eastAsia="Times New Roman" w:hAnsi="Arial" w:cs="Arial"/>
          <w:i/>
          <w:iCs/>
          <w:color w:val="222222"/>
          <w:sz w:val="23"/>
          <w:szCs w:val="23"/>
        </w:rPr>
        <w:t>Barnett Bank</w:t>
      </w:r>
      <w:r w:rsidRPr="00851945">
        <w:rPr>
          <w:rFonts w:ascii="Arial" w:eastAsia="Times New Roman" w:hAnsi="Arial" w:cs="Arial"/>
          <w:color w:val="222222"/>
          <w:sz w:val="23"/>
          <w:szCs w:val="23"/>
        </w:rPr>
        <w:t xml:space="preserve"> by simply refraining from selling insurance.</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lastRenderedPageBreak/>
        <w:t xml:space="preserve">Because the "physical impossibility" prong of implied preemption is "vanishingly narrow," Caleb Nelson, </w:t>
      </w:r>
      <w:r w:rsidRPr="00851945">
        <w:rPr>
          <w:rFonts w:ascii="Arial" w:eastAsia="Times New Roman" w:hAnsi="Arial" w:cs="Arial"/>
          <w:i/>
          <w:iCs/>
          <w:color w:val="222222"/>
          <w:sz w:val="23"/>
          <w:szCs w:val="23"/>
        </w:rPr>
        <w:t>Preemption,</w:t>
      </w:r>
      <w:r w:rsidRPr="00851945">
        <w:rPr>
          <w:rFonts w:ascii="Arial" w:eastAsia="Times New Roman" w:hAnsi="Arial" w:cs="Arial"/>
          <w:color w:val="222222"/>
          <w:sz w:val="23"/>
          <w:szCs w:val="23"/>
        </w:rPr>
        <w:t xml:space="preserve"> 86 Va. L. Rev. 225, 228 (2000), the Court's decisions typically have turned on the second prong of implied preemption analysis—whether state law "stands as an obstacle to the accomplishment and execution of the full purposes and objectives of Congress." </w:t>
      </w:r>
      <w:r w:rsidRPr="00851945">
        <w:rPr>
          <w:rFonts w:ascii="Arial" w:eastAsia="Times New Roman" w:hAnsi="Arial" w:cs="Arial"/>
          <w:i/>
          <w:iCs/>
          <w:color w:val="222222"/>
          <w:sz w:val="23"/>
          <w:szCs w:val="23"/>
        </w:rPr>
        <w:t xml:space="preserve">See </w:t>
      </w:r>
      <w:hyperlink r:id="rId55" w:history="1">
        <w:r w:rsidRPr="00851945">
          <w:rPr>
            <w:rFonts w:ascii="Arial" w:eastAsia="Times New Roman" w:hAnsi="Arial" w:cs="Arial"/>
            <w:i/>
            <w:iCs/>
            <w:color w:val="1A0DAB"/>
            <w:sz w:val="23"/>
            <w:szCs w:val="23"/>
            <w:u w:val="single"/>
          </w:rPr>
          <w:t>Hines,</w:t>
        </w:r>
        <w:r w:rsidRPr="00851945">
          <w:rPr>
            <w:rFonts w:ascii="Arial" w:eastAsia="Times New Roman" w:hAnsi="Arial" w:cs="Arial"/>
            <w:color w:val="1A0DAB"/>
            <w:sz w:val="23"/>
            <w:szCs w:val="23"/>
            <w:u w:val="single"/>
          </w:rPr>
          <w:t xml:space="preserve"> 312 U.S. at 67, 61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399</w:t>
        </w:r>
      </w:hyperlink>
      <w:r w:rsidRPr="00851945">
        <w:rPr>
          <w:rFonts w:ascii="Arial" w:eastAsia="Times New Roman" w:hAnsi="Arial" w:cs="Arial"/>
          <w:color w:val="222222"/>
          <w:sz w:val="23"/>
          <w:szCs w:val="23"/>
        </w:rPr>
        <w:t xml:space="preserve"> (stating test). In </w:t>
      </w:r>
      <w:r w:rsidRPr="00851945">
        <w:rPr>
          <w:rFonts w:ascii="Arial" w:eastAsia="Times New Roman" w:hAnsi="Arial" w:cs="Arial"/>
          <w:i/>
          <w:iCs/>
          <w:color w:val="222222"/>
          <w:sz w:val="23"/>
          <w:szCs w:val="23"/>
        </w:rPr>
        <w:t>Barnett Bank,</w:t>
      </w:r>
      <w:r w:rsidRPr="00851945">
        <w:rPr>
          <w:rFonts w:ascii="Arial" w:eastAsia="Times New Roman" w:hAnsi="Arial" w:cs="Arial"/>
          <w:color w:val="222222"/>
          <w:sz w:val="23"/>
          <w:szCs w:val="23"/>
        </w:rPr>
        <w:t xml:space="preserve"> for example, the Court stated, as a self-evident proposition, that a state law that prohibited national banks from selling insurance when federal law permitted them to do so would stand as an obstacle to the full accomplishment of Congress's purpose, but it then added "unless, of course, that federal purpose is to grant [national] bank[s] only a very </w:t>
      </w:r>
      <w:r w:rsidRPr="00851945">
        <w:rPr>
          <w:rFonts w:ascii="Arial" w:eastAsia="Times New Roman" w:hAnsi="Arial" w:cs="Arial"/>
          <w:i/>
          <w:iCs/>
          <w:color w:val="222222"/>
          <w:sz w:val="23"/>
          <w:szCs w:val="23"/>
        </w:rPr>
        <w:t>limited</w:t>
      </w:r>
      <w:r w:rsidRPr="00851945">
        <w:rPr>
          <w:rFonts w:ascii="Arial" w:eastAsia="Times New Roman" w:hAnsi="Arial" w:cs="Arial"/>
          <w:color w:val="222222"/>
          <w:sz w:val="23"/>
          <w:szCs w:val="23"/>
        </w:rPr>
        <w:t xml:space="preserve"> permission, that is, permission to sell insurance </w:t>
      </w:r>
      <w:r w:rsidRPr="00851945">
        <w:rPr>
          <w:rFonts w:ascii="Arial" w:eastAsia="Times New Roman" w:hAnsi="Arial" w:cs="Arial"/>
          <w:i/>
          <w:iCs/>
          <w:color w:val="222222"/>
          <w:sz w:val="23"/>
          <w:szCs w:val="23"/>
        </w:rPr>
        <w:t>to the extent that state law also grants permission to do so.</w:t>
      </w:r>
      <w:r w:rsidRPr="00851945">
        <w:rPr>
          <w:rFonts w:ascii="Arial" w:eastAsia="Times New Roman" w:hAnsi="Arial" w:cs="Arial"/>
          <w:color w:val="222222"/>
          <w:sz w:val="23"/>
          <w:szCs w:val="23"/>
        </w:rPr>
        <w:t xml:space="preserve">" </w:t>
      </w:r>
      <w:hyperlink r:id="rId56" w:history="1">
        <w:proofErr w:type="gramStart"/>
        <w:r w:rsidRPr="00851945">
          <w:rPr>
            <w:rFonts w:ascii="Arial" w:eastAsia="Times New Roman" w:hAnsi="Arial" w:cs="Arial"/>
            <w:i/>
            <w:iCs/>
            <w:color w:val="1A0DAB"/>
            <w:sz w:val="23"/>
            <w:szCs w:val="23"/>
            <w:u w:val="single"/>
          </w:rPr>
          <w:t>Barnett Bank,</w:t>
        </w:r>
        <w:r w:rsidRPr="00851945">
          <w:rPr>
            <w:rFonts w:ascii="Arial" w:eastAsia="Times New Roman" w:hAnsi="Arial" w:cs="Arial"/>
            <w:color w:val="1A0DAB"/>
            <w:sz w:val="23"/>
            <w:szCs w:val="23"/>
            <w:u w:val="single"/>
          </w:rPr>
          <w:t xml:space="preserve"> 517 U.S. at 31, 116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1103</w:t>
        </w:r>
      </w:hyperlink>
      <w:r w:rsidRPr="00851945">
        <w:rPr>
          <w:rFonts w:ascii="Arial" w:eastAsia="Times New Roman" w:hAnsi="Arial" w:cs="Arial"/>
          <w:color w:val="222222"/>
          <w:sz w:val="23"/>
          <w:szCs w:val="23"/>
        </w:rPr>
        <w:t xml:space="preserve"> (emphasis in original).</w:t>
      </w:r>
      <w:proofErr w:type="gramEnd"/>
      <w:r w:rsidRPr="00851945">
        <w:rPr>
          <w:rFonts w:ascii="Arial" w:eastAsia="Times New Roman" w:hAnsi="Arial" w:cs="Arial"/>
          <w:color w:val="222222"/>
          <w:sz w:val="23"/>
          <w:szCs w:val="23"/>
        </w:rPr>
        <w:t xml:space="preserve"> Having considered the text and history of the federal statute and finding no basis for implying such a limited permission, the Court held that the state statute was preempted. </w:t>
      </w:r>
      <w:proofErr w:type="gramStart"/>
      <w:r w:rsidRPr="00851945">
        <w:rPr>
          <w:rFonts w:ascii="Arial" w:eastAsia="Times New Roman" w:hAnsi="Arial" w:cs="Arial"/>
          <w:i/>
          <w:iCs/>
          <w:color w:val="222222"/>
          <w:sz w:val="23"/>
          <w:szCs w:val="23"/>
        </w:rPr>
        <w:t>Id.</w:t>
      </w:r>
      <w:r w:rsidRPr="00851945">
        <w:rPr>
          <w:rFonts w:ascii="Arial" w:eastAsia="Times New Roman" w:hAnsi="Arial" w:cs="Arial"/>
          <w:color w:val="222222"/>
          <w:sz w:val="23"/>
          <w:szCs w:val="23"/>
        </w:rPr>
        <w:t xml:space="preserve"> at 35-37, 116 </w:t>
      </w:r>
      <w:proofErr w:type="spellStart"/>
      <w:r w:rsidRPr="00851945">
        <w:rPr>
          <w:rFonts w:ascii="Arial" w:eastAsia="Times New Roman" w:hAnsi="Arial" w:cs="Arial"/>
          <w:color w:val="222222"/>
          <w:sz w:val="23"/>
          <w:szCs w:val="23"/>
        </w:rPr>
        <w:t>S.Ct</w:t>
      </w:r>
      <w:proofErr w:type="spellEnd"/>
      <w:r w:rsidRPr="00851945">
        <w:rPr>
          <w:rFonts w:ascii="Arial" w:eastAsia="Times New Roman" w:hAnsi="Arial" w:cs="Arial"/>
          <w:color w:val="222222"/>
          <w:sz w:val="23"/>
          <w:szCs w:val="23"/>
        </w:rPr>
        <w:t>. 1103.</w:t>
      </w:r>
      <w:proofErr w:type="gramEnd"/>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The Court has reached the same conclusion when, as in this case, state law permits what federal law prohibits. </w:t>
      </w:r>
      <w:hyperlink r:id="rId57" w:history="1">
        <w:proofErr w:type="gramStart"/>
        <w:r w:rsidRPr="00851945">
          <w:rPr>
            <w:rFonts w:ascii="Arial" w:eastAsia="Times New Roman" w:hAnsi="Arial" w:cs="Arial"/>
            <w:i/>
            <w:iCs/>
            <w:color w:val="1A0DAB"/>
            <w:sz w:val="23"/>
            <w:szCs w:val="23"/>
            <w:u w:val="single"/>
          </w:rPr>
          <w:t>Michigan Canners &amp; Freezers Association v. Agricultural Marketing and Bargaining Bd.,</w:t>
        </w:r>
        <w:r w:rsidRPr="00851945">
          <w:rPr>
            <w:rFonts w:ascii="Arial" w:eastAsia="Times New Roman" w:hAnsi="Arial" w:cs="Arial"/>
            <w:color w:val="1A0DAB"/>
            <w:sz w:val="23"/>
            <w:szCs w:val="23"/>
            <w:u w:val="single"/>
          </w:rPr>
          <w:t xml:space="preserve"> 467 U.S. 461, 104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2518, 81 L.Ed.2d 399 (1984)</w:t>
        </w:r>
      </w:hyperlink>
      <w:r w:rsidRPr="00851945">
        <w:rPr>
          <w:rFonts w:ascii="Arial" w:eastAsia="Times New Roman" w:hAnsi="Arial" w:cs="Arial"/>
          <w:color w:val="222222"/>
          <w:sz w:val="23"/>
          <w:szCs w:val="23"/>
        </w:rPr>
        <w:t>.</w:t>
      </w:r>
      <w:proofErr w:type="gramEnd"/>
      <w:r w:rsidRPr="00851945">
        <w:rPr>
          <w:rFonts w:ascii="Arial" w:eastAsia="Times New Roman" w:hAnsi="Arial" w:cs="Arial"/>
          <w:color w:val="222222"/>
          <w:sz w:val="23"/>
          <w:szCs w:val="23"/>
        </w:rPr>
        <w:t xml:space="preserve"> In </w:t>
      </w:r>
      <w:r w:rsidRPr="00851945">
        <w:rPr>
          <w:rFonts w:ascii="Arial" w:eastAsia="Times New Roman" w:hAnsi="Arial" w:cs="Arial"/>
          <w:i/>
          <w:iCs/>
          <w:color w:val="222222"/>
          <w:sz w:val="23"/>
          <w:szCs w:val="23"/>
        </w:rPr>
        <w:t>Michigan Canners,</w:t>
      </w:r>
      <w:r w:rsidRPr="00851945">
        <w:rPr>
          <w:rFonts w:ascii="Arial" w:eastAsia="Times New Roman" w:hAnsi="Arial" w:cs="Arial"/>
          <w:color w:val="222222"/>
          <w:sz w:val="23"/>
          <w:szCs w:val="23"/>
        </w:rPr>
        <w:t xml:space="preserve"> federal law prohibited food producers' associations from interfering with an individual food producer's decision whether to bring that individual's products to the market on his or her own or to sell them through the association. </w:t>
      </w:r>
      <w:r w:rsidRPr="00851945">
        <w:rPr>
          <w:rFonts w:ascii="Arial" w:eastAsia="Times New Roman" w:hAnsi="Arial" w:cs="Arial"/>
          <w:i/>
          <w:iCs/>
          <w:color w:val="222222"/>
          <w:sz w:val="23"/>
          <w:szCs w:val="23"/>
        </w:rPr>
        <w:t>Id.</w:t>
      </w:r>
      <w:r w:rsidRPr="00851945">
        <w:rPr>
          <w:rFonts w:ascii="Arial" w:eastAsia="Times New Roman" w:hAnsi="Arial" w:cs="Arial"/>
          <w:color w:val="222222"/>
          <w:sz w:val="23"/>
          <w:szCs w:val="23"/>
        </w:rPr>
        <w:t xml:space="preserve"> at 464-65, 104 </w:t>
      </w:r>
      <w:proofErr w:type="spellStart"/>
      <w:r w:rsidRPr="00851945">
        <w:rPr>
          <w:rFonts w:ascii="Arial" w:eastAsia="Times New Roman" w:hAnsi="Arial" w:cs="Arial"/>
          <w:color w:val="222222"/>
          <w:sz w:val="23"/>
          <w:szCs w:val="23"/>
        </w:rPr>
        <w:t>S.Ct</w:t>
      </w:r>
      <w:proofErr w:type="spellEnd"/>
      <w:r w:rsidRPr="00851945">
        <w:rPr>
          <w:rFonts w:ascii="Arial" w:eastAsia="Times New Roman" w:hAnsi="Arial" w:cs="Arial"/>
          <w:color w:val="222222"/>
          <w:sz w:val="23"/>
          <w:szCs w:val="23"/>
        </w:rPr>
        <w:t xml:space="preserve">. 2518. Michigan law on this issue generally tracked federal law; however, Michigan law permitted food producers' associations to apply to a state board for authority </w:t>
      </w:r>
      <w:hyperlink r:id="rId58" w:anchor="p529" w:history="1">
        <w:r w:rsidRPr="00851945">
          <w:rPr>
            <w:rFonts w:ascii="Arial" w:eastAsia="Times New Roman" w:hAnsi="Arial" w:cs="Arial"/>
            <w:color w:val="AAAAAA"/>
            <w:sz w:val="20"/>
            <w:szCs w:val="20"/>
            <w:shd w:val="clear" w:color="auto" w:fill="FFFFFF"/>
          </w:rPr>
          <w:t>529</w:t>
        </w:r>
      </w:hyperlink>
      <w:hyperlink r:id="rId59" w:anchor="p529" w:history="1">
        <w:r w:rsidRPr="00851945">
          <w:rPr>
            <w:rFonts w:ascii="Arial" w:eastAsia="Times New Roman" w:hAnsi="Arial" w:cs="Arial"/>
            <w:color w:val="AAAAAA"/>
            <w:sz w:val="20"/>
            <w:szCs w:val="20"/>
          </w:rPr>
          <w:t>*529</w:t>
        </w:r>
      </w:hyperlink>
      <w:r w:rsidRPr="00851945">
        <w:rPr>
          <w:rFonts w:ascii="Arial" w:eastAsia="Times New Roman" w:hAnsi="Arial" w:cs="Arial"/>
          <w:color w:val="222222"/>
          <w:sz w:val="23"/>
          <w:szCs w:val="23"/>
        </w:rPr>
        <w:t xml:space="preserve"> to act as the exclusive bargaining agent for all producers of a particular commodity. </w:t>
      </w:r>
      <w:r w:rsidRPr="00851945">
        <w:rPr>
          <w:rFonts w:ascii="Arial" w:eastAsia="Times New Roman" w:hAnsi="Arial" w:cs="Arial"/>
          <w:i/>
          <w:iCs/>
          <w:color w:val="222222"/>
          <w:sz w:val="23"/>
          <w:szCs w:val="23"/>
        </w:rPr>
        <w:t>Id.</w:t>
      </w:r>
      <w:r w:rsidRPr="00851945">
        <w:rPr>
          <w:rFonts w:ascii="Arial" w:eastAsia="Times New Roman" w:hAnsi="Arial" w:cs="Arial"/>
          <w:color w:val="222222"/>
          <w:sz w:val="23"/>
          <w:szCs w:val="23"/>
        </w:rPr>
        <w:t xml:space="preserve"> at 466, 104 </w:t>
      </w:r>
      <w:proofErr w:type="spellStart"/>
      <w:r w:rsidRPr="00851945">
        <w:rPr>
          <w:rFonts w:ascii="Arial" w:eastAsia="Times New Roman" w:hAnsi="Arial" w:cs="Arial"/>
          <w:color w:val="222222"/>
          <w:sz w:val="23"/>
          <w:szCs w:val="23"/>
        </w:rPr>
        <w:t>S.Ct</w:t>
      </w:r>
      <w:proofErr w:type="spellEnd"/>
      <w:r w:rsidRPr="00851945">
        <w:rPr>
          <w:rFonts w:ascii="Arial" w:eastAsia="Times New Roman" w:hAnsi="Arial" w:cs="Arial"/>
          <w:color w:val="222222"/>
          <w:sz w:val="23"/>
          <w:szCs w:val="23"/>
        </w:rPr>
        <w:t xml:space="preserve">. 2518. </w:t>
      </w:r>
      <w:proofErr w:type="gramStart"/>
      <w:r w:rsidRPr="00851945">
        <w:rPr>
          <w:rFonts w:ascii="Arial" w:eastAsia="Times New Roman" w:hAnsi="Arial" w:cs="Arial"/>
          <w:color w:val="222222"/>
          <w:sz w:val="23"/>
          <w:szCs w:val="23"/>
        </w:rPr>
        <w:t>When the state board gave a producer's association that authority, all producers of a commodity had to adhere to the terms of the contracts that the association negotiated with food processors, even when the producer had declined to join the association.</w:t>
      </w:r>
      <w:proofErr w:type="gramEnd"/>
      <w:r w:rsidRPr="00851945">
        <w:rPr>
          <w:rFonts w:ascii="Arial" w:eastAsia="Times New Roman" w:hAnsi="Arial" w:cs="Arial"/>
          <w:color w:val="222222"/>
          <w:sz w:val="23"/>
          <w:szCs w:val="23"/>
        </w:rPr>
        <w:t xml:space="preserve"> </w:t>
      </w:r>
      <w:r w:rsidRPr="00851945">
        <w:rPr>
          <w:rFonts w:ascii="Arial" w:eastAsia="Times New Roman" w:hAnsi="Arial" w:cs="Arial"/>
          <w:i/>
          <w:iCs/>
          <w:color w:val="222222"/>
          <w:sz w:val="23"/>
          <w:szCs w:val="23"/>
        </w:rPr>
        <w:t>Id.</w:t>
      </w:r>
      <w:r w:rsidRPr="00851945">
        <w:rPr>
          <w:rFonts w:ascii="Arial" w:eastAsia="Times New Roman" w:hAnsi="Arial" w:cs="Arial"/>
          <w:color w:val="222222"/>
          <w:sz w:val="23"/>
          <w:szCs w:val="23"/>
        </w:rPr>
        <w:t xml:space="preserve"> at 467-68, 104 </w:t>
      </w:r>
      <w:proofErr w:type="spellStart"/>
      <w:r w:rsidRPr="00851945">
        <w:rPr>
          <w:rFonts w:ascii="Arial" w:eastAsia="Times New Roman" w:hAnsi="Arial" w:cs="Arial"/>
          <w:color w:val="222222"/>
          <w:sz w:val="23"/>
          <w:szCs w:val="23"/>
        </w:rPr>
        <w:t>S.Ct</w:t>
      </w:r>
      <w:proofErr w:type="spellEnd"/>
      <w:r w:rsidRPr="00851945">
        <w:rPr>
          <w:rFonts w:ascii="Arial" w:eastAsia="Times New Roman" w:hAnsi="Arial" w:cs="Arial"/>
          <w:color w:val="222222"/>
          <w:sz w:val="23"/>
          <w:szCs w:val="23"/>
        </w:rPr>
        <w:t>. 2518.</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In considering whether federal law preempted the Michigan law, the Court held initially that it was physically possible to comply with both state and federal law. The Court reasoned that, because the "Michigan Act is cast in permissive rather than mandatory terms—an association </w:t>
      </w:r>
      <w:r w:rsidRPr="00851945">
        <w:rPr>
          <w:rFonts w:ascii="Arial" w:eastAsia="Times New Roman" w:hAnsi="Arial" w:cs="Arial"/>
          <w:i/>
          <w:iCs/>
          <w:color w:val="222222"/>
          <w:sz w:val="23"/>
          <w:szCs w:val="23"/>
        </w:rPr>
        <w:t>may,</w:t>
      </w:r>
      <w:r w:rsidRPr="00851945">
        <w:rPr>
          <w:rFonts w:ascii="Arial" w:eastAsia="Times New Roman" w:hAnsi="Arial" w:cs="Arial"/>
          <w:color w:val="222222"/>
          <w:sz w:val="23"/>
          <w:szCs w:val="23"/>
        </w:rPr>
        <w:t xml:space="preserve"> but need not, act as exclusive bargaining representative—this is not a case in which it is [physically] impossible for an individual to comply with both state and federal law." </w:t>
      </w:r>
      <w:proofErr w:type="gramStart"/>
      <w:r w:rsidRPr="00851945">
        <w:rPr>
          <w:rFonts w:ascii="Arial" w:eastAsia="Times New Roman" w:hAnsi="Arial" w:cs="Arial"/>
          <w:i/>
          <w:iCs/>
          <w:color w:val="222222"/>
          <w:sz w:val="23"/>
          <w:szCs w:val="23"/>
        </w:rPr>
        <w:t>Id.</w:t>
      </w:r>
      <w:r w:rsidRPr="00851945">
        <w:rPr>
          <w:rFonts w:ascii="Arial" w:eastAsia="Times New Roman" w:hAnsi="Arial" w:cs="Arial"/>
          <w:color w:val="222222"/>
          <w:sz w:val="23"/>
          <w:szCs w:val="23"/>
        </w:rPr>
        <w:t xml:space="preserve"> at 478 n. 21, 104 </w:t>
      </w:r>
      <w:proofErr w:type="spellStart"/>
      <w:r w:rsidRPr="00851945">
        <w:rPr>
          <w:rFonts w:ascii="Arial" w:eastAsia="Times New Roman" w:hAnsi="Arial" w:cs="Arial"/>
          <w:color w:val="222222"/>
          <w:sz w:val="23"/>
          <w:szCs w:val="23"/>
        </w:rPr>
        <w:t>S.Ct</w:t>
      </w:r>
      <w:proofErr w:type="spellEnd"/>
      <w:r w:rsidRPr="00851945">
        <w:rPr>
          <w:rFonts w:ascii="Arial" w:eastAsia="Times New Roman" w:hAnsi="Arial" w:cs="Arial"/>
          <w:color w:val="222222"/>
          <w:sz w:val="23"/>
          <w:szCs w:val="23"/>
        </w:rPr>
        <w:t>. 2518 (emphasis in original).</w:t>
      </w:r>
      <w:proofErr w:type="gramEnd"/>
      <w:r w:rsidRPr="00851945">
        <w:rPr>
          <w:rFonts w:ascii="Arial" w:eastAsia="Times New Roman" w:hAnsi="Arial" w:cs="Arial"/>
          <w:color w:val="222222"/>
          <w:sz w:val="23"/>
          <w:szCs w:val="23"/>
        </w:rPr>
        <w:t xml:space="preserve"> The Court went on to conclude, however, that "because the Michigan Act authorizes producers' associations to engage in conduct that the federal Act forbids, it `stands as an obstacle to the accomplishment and execution of the full purposes and objectives of Congress.'" </w:t>
      </w:r>
      <w:r w:rsidRPr="00851945">
        <w:rPr>
          <w:rFonts w:ascii="Arial" w:eastAsia="Times New Roman" w:hAnsi="Arial" w:cs="Arial"/>
          <w:i/>
          <w:iCs/>
          <w:color w:val="222222"/>
          <w:sz w:val="23"/>
          <w:szCs w:val="23"/>
        </w:rPr>
        <w:t>Id.</w:t>
      </w:r>
      <w:r w:rsidRPr="00851945">
        <w:rPr>
          <w:rFonts w:ascii="Arial" w:eastAsia="Times New Roman" w:hAnsi="Arial" w:cs="Arial"/>
          <w:color w:val="222222"/>
          <w:sz w:val="23"/>
          <w:szCs w:val="23"/>
        </w:rPr>
        <w:t xml:space="preserve"> at 478, 104 </w:t>
      </w:r>
      <w:proofErr w:type="spellStart"/>
      <w:r w:rsidRPr="00851945">
        <w:rPr>
          <w:rFonts w:ascii="Arial" w:eastAsia="Times New Roman" w:hAnsi="Arial" w:cs="Arial"/>
          <w:color w:val="222222"/>
          <w:sz w:val="23"/>
          <w:szCs w:val="23"/>
        </w:rPr>
        <w:t>S.Ct</w:t>
      </w:r>
      <w:proofErr w:type="spellEnd"/>
      <w:r w:rsidRPr="00851945">
        <w:rPr>
          <w:rFonts w:ascii="Arial" w:eastAsia="Times New Roman" w:hAnsi="Arial" w:cs="Arial"/>
          <w:color w:val="222222"/>
          <w:sz w:val="23"/>
          <w:szCs w:val="23"/>
        </w:rPr>
        <w:t xml:space="preserve">. 2518 (quoting </w:t>
      </w:r>
      <w:hyperlink r:id="rId60" w:history="1">
        <w:r w:rsidRPr="00851945">
          <w:rPr>
            <w:rFonts w:ascii="Arial" w:eastAsia="Times New Roman" w:hAnsi="Arial" w:cs="Arial"/>
            <w:i/>
            <w:iCs/>
            <w:color w:val="1A0DAB"/>
            <w:sz w:val="23"/>
            <w:szCs w:val="23"/>
            <w:u w:val="single"/>
          </w:rPr>
          <w:t>Hines,</w:t>
        </w:r>
        <w:r w:rsidRPr="00851945">
          <w:rPr>
            <w:rFonts w:ascii="Arial" w:eastAsia="Times New Roman" w:hAnsi="Arial" w:cs="Arial"/>
            <w:color w:val="1A0DAB"/>
            <w:sz w:val="23"/>
            <w:szCs w:val="23"/>
            <w:u w:val="single"/>
          </w:rPr>
          <w:t xml:space="preserve"> 312 U.S. at 67, 61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399</w:t>
        </w:r>
      </w:hyperlink>
      <w:r w:rsidRPr="00851945">
        <w:rPr>
          <w:rFonts w:ascii="Arial" w:eastAsia="Times New Roman" w:hAnsi="Arial" w:cs="Arial"/>
          <w:color w:val="222222"/>
          <w:sz w:val="23"/>
          <w:szCs w:val="23"/>
        </w:rPr>
        <w:t>).</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The preemption issue in this case is similar to the issue in </w:t>
      </w:r>
      <w:r w:rsidRPr="00851945">
        <w:rPr>
          <w:rFonts w:ascii="Arial" w:eastAsia="Times New Roman" w:hAnsi="Arial" w:cs="Arial"/>
          <w:i/>
          <w:iCs/>
          <w:color w:val="222222"/>
          <w:sz w:val="23"/>
          <w:szCs w:val="23"/>
        </w:rPr>
        <w:t>Michigan Canners</w:t>
      </w:r>
      <w:r w:rsidRPr="00851945">
        <w:rPr>
          <w:rFonts w:ascii="Arial" w:eastAsia="Times New Roman" w:hAnsi="Arial" w:cs="Arial"/>
          <w:color w:val="222222"/>
          <w:sz w:val="23"/>
          <w:szCs w:val="23"/>
        </w:rPr>
        <w:t xml:space="preserve"> and </w:t>
      </w:r>
      <w:r w:rsidRPr="00851945">
        <w:rPr>
          <w:rFonts w:ascii="Arial" w:eastAsia="Times New Roman" w:hAnsi="Arial" w:cs="Arial"/>
          <w:i/>
          <w:iCs/>
          <w:color w:val="222222"/>
          <w:sz w:val="23"/>
          <w:szCs w:val="23"/>
        </w:rPr>
        <w:t>Barnett Bank.</w:t>
      </w:r>
      <w:r w:rsidRPr="00851945">
        <w:rPr>
          <w:rFonts w:ascii="Arial" w:eastAsia="Times New Roman" w:hAnsi="Arial" w:cs="Arial"/>
          <w:color w:val="222222"/>
          <w:sz w:val="23"/>
          <w:szCs w:val="23"/>
        </w:rPr>
        <w:t xml:space="preserve"> In this case, ORS 475.306(1) affirmatively authorizes the use of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The Controlled Substances Act, however, prohibits the use of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without regard to whether it is used for medicinal purposes. As the Supreme Court has recognized, by classifying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as a Schedule I drug, Congress has expressed its judgment that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has no recognized medical use. </w:t>
      </w:r>
      <w:r w:rsidRPr="00851945">
        <w:rPr>
          <w:rFonts w:ascii="Arial" w:eastAsia="Times New Roman" w:hAnsi="Arial" w:cs="Arial"/>
          <w:i/>
          <w:iCs/>
          <w:color w:val="222222"/>
          <w:sz w:val="23"/>
          <w:szCs w:val="23"/>
        </w:rPr>
        <w:t xml:space="preserve">See </w:t>
      </w:r>
      <w:hyperlink r:id="rId61" w:history="1">
        <w:proofErr w:type="spellStart"/>
        <w:r w:rsidRPr="00851945">
          <w:rPr>
            <w:rFonts w:ascii="Arial" w:eastAsia="Times New Roman" w:hAnsi="Arial" w:cs="Arial"/>
            <w:i/>
            <w:iCs/>
            <w:color w:val="1A0DAB"/>
            <w:sz w:val="23"/>
            <w:szCs w:val="23"/>
            <w:u w:val="single"/>
          </w:rPr>
          <w:t>Raich</w:t>
        </w:r>
        <w:proofErr w:type="spellEnd"/>
        <w:r w:rsidRPr="00851945">
          <w:rPr>
            <w:rFonts w:ascii="Arial" w:eastAsia="Times New Roman" w:hAnsi="Arial" w:cs="Arial"/>
            <w:i/>
            <w:iCs/>
            <w:color w:val="1A0DAB"/>
            <w:sz w:val="23"/>
            <w:szCs w:val="23"/>
            <w:u w:val="single"/>
          </w:rPr>
          <w:t>,</w:t>
        </w:r>
        <w:r w:rsidRPr="00851945">
          <w:rPr>
            <w:rFonts w:ascii="Arial" w:eastAsia="Times New Roman" w:hAnsi="Arial" w:cs="Arial"/>
            <w:color w:val="1A0DAB"/>
            <w:sz w:val="23"/>
            <w:szCs w:val="23"/>
            <w:u w:val="single"/>
          </w:rPr>
          <w:t xml:space="preserve"> 545 U.S. at 14, 125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2195</w:t>
        </w:r>
      </w:hyperlink>
      <w:r w:rsidRPr="00851945">
        <w:rPr>
          <w:rFonts w:ascii="Arial" w:eastAsia="Times New Roman" w:hAnsi="Arial" w:cs="Arial"/>
          <w:color w:val="222222"/>
          <w:sz w:val="23"/>
          <w:szCs w:val="23"/>
        </w:rPr>
        <w:t xml:space="preserve">. Congress did not intend to enact a limited prohibition on the use of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w:t>
      </w:r>
      <w:r w:rsidRPr="00851945">
        <w:rPr>
          <w:rFonts w:ascii="Arial" w:eastAsia="Times New Roman" w:hAnsi="Arial" w:cs="Arial"/>
          <w:i/>
          <w:iCs/>
          <w:color w:val="222222"/>
          <w:sz w:val="23"/>
          <w:szCs w:val="23"/>
        </w:rPr>
        <w:t>i.e.,</w:t>
      </w:r>
      <w:r w:rsidRPr="00851945">
        <w:rPr>
          <w:rFonts w:ascii="Arial" w:eastAsia="Times New Roman" w:hAnsi="Arial" w:cs="Arial"/>
          <w:color w:val="222222"/>
          <w:sz w:val="23"/>
          <w:szCs w:val="23"/>
        </w:rPr>
        <w:t xml:space="preserve"> to prohibit the use of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unless states chose to authorize its use for medical purposes. </w:t>
      </w:r>
      <w:r w:rsidRPr="00851945">
        <w:rPr>
          <w:rFonts w:ascii="Arial" w:eastAsia="Times New Roman" w:hAnsi="Arial" w:cs="Arial"/>
          <w:i/>
          <w:iCs/>
          <w:color w:val="222222"/>
          <w:sz w:val="23"/>
          <w:szCs w:val="23"/>
        </w:rPr>
        <w:lastRenderedPageBreak/>
        <w:t xml:space="preserve">Cf. </w:t>
      </w:r>
      <w:hyperlink r:id="rId62" w:history="1">
        <w:r w:rsidRPr="00851945">
          <w:rPr>
            <w:rFonts w:ascii="Arial" w:eastAsia="Times New Roman" w:hAnsi="Arial" w:cs="Arial"/>
            <w:i/>
            <w:iCs/>
            <w:color w:val="1A0DAB"/>
            <w:sz w:val="23"/>
            <w:szCs w:val="23"/>
            <w:u w:val="single"/>
          </w:rPr>
          <w:t>Barnett Bank,</w:t>
        </w:r>
        <w:r w:rsidRPr="00851945">
          <w:rPr>
            <w:rFonts w:ascii="Arial" w:eastAsia="Times New Roman" w:hAnsi="Arial" w:cs="Arial"/>
            <w:color w:val="1A0DAB"/>
            <w:sz w:val="23"/>
            <w:szCs w:val="23"/>
            <w:u w:val="single"/>
          </w:rPr>
          <w:t xml:space="preserve"> 517 U.S. at 31-35, 116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1103</w:t>
        </w:r>
      </w:hyperlink>
      <w:r w:rsidRPr="00851945">
        <w:rPr>
          <w:rFonts w:ascii="Arial" w:eastAsia="Times New Roman" w:hAnsi="Arial" w:cs="Arial"/>
          <w:color w:val="222222"/>
          <w:sz w:val="23"/>
          <w:szCs w:val="23"/>
        </w:rPr>
        <w:t xml:space="preserve"> (reaching a similar conclusion regarding the scope of the national bank act). Rather, Congress imposed a blanket federal prohibition on the use of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without regard to state permission to use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for medical purposes. </w:t>
      </w:r>
      <w:hyperlink r:id="rId63" w:history="1">
        <w:proofErr w:type="gramStart"/>
        <w:r w:rsidRPr="00851945">
          <w:rPr>
            <w:rFonts w:ascii="Arial" w:eastAsia="Times New Roman" w:hAnsi="Arial" w:cs="Arial"/>
            <w:i/>
            <w:iCs/>
            <w:color w:val="1A0DAB"/>
            <w:sz w:val="23"/>
            <w:szCs w:val="23"/>
            <w:u w:val="single"/>
          </w:rPr>
          <w:t>Oakland Cannabis Buyers' Cooperative,</w:t>
        </w:r>
        <w:r w:rsidRPr="00851945">
          <w:rPr>
            <w:rFonts w:ascii="Arial" w:eastAsia="Times New Roman" w:hAnsi="Arial" w:cs="Arial"/>
            <w:color w:val="1A0DAB"/>
            <w:sz w:val="23"/>
            <w:szCs w:val="23"/>
            <w:u w:val="single"/>
          </w:rPr>
          <w:t xml:space="preserve"> 532 U.S. at 494 &amp; n. 7, 121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1711</w:t>
        </w:r>
      </w:hyperlink>
      <w:r w:rsidRPr="00851945">
        <w:rPr>
          <w:rFonts w:ascii="Arial" w:eastAsia="Times New Roman" w:hAnsi="Arial" w:cs="Arial"/>
          <w:color w:val="222222"/>
          <w:sz w:val="23"/>
          <w:szCs w:val="23"/>
        </w:rPr>
        <w:t>.</w:t>
      </w:r>
      <w:proofErr w:type="gramEnd"/>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proofErr w:type="gramStart"/>
      <w:r w:rsidRPr="00851945">
        <w:rPr>
          <w:rFonts w:ascii="Arial" w:eastAsia="Times New Roman" w:hAnsi="Arial" w:cs="Arial"/>
          <w:color w:val="222222"/>
          <w:sz w:val="23"/>
          <w:szCs w:val="23"/>
        </w:rPr>
        <w:t>Affirmatively authorizing a use that federal law prohibits stands as an obstacle to the implementation and execution of the full purposes and objectives of the Controlled Substances Act.</w:t>
      </w:r>
      <w:proofErr w:type="gramEnd"/>
      <w:r w:rsidRPr="00851945">
        <w:rPr>
          <w:rFonts w:ascii="Arial" w:eastAsia="Times New Roman" w:hAnsi="Arial" w:cs="Arial"/>
          <w:color w:val="222222"/>
          <w:sz w:val="23"/>
          <w:szCs w:val="23"/>
        </w:rPr>
        <w:t xml:space="preserve"> </w:t>
      </w:r>
      <w:hyperlink r:id="rId64" w:history="1">
        <w:r w:rsidRPr="00851945">
          <w:rPr>
            <w:rFonts w:ascii="Arial" w:eastAsia="Times New Roman" w:hAnsi="Arial" w:cs="Arial"/>
            <w:i/>
            <w:iCs/>
            <w:color w:val="1A0DAB"/>
            <w:sz w:val="23"/>
            <w:szCs w:val="23"/>
            <w:u w:val="single"/>
          </w:rPr>
          <w:t>Michigan Canners,</w:t>
        </w:r>
        <w:r w:rsidRPr="00851945">
          <w:rPr>
            <w:rFonts w:ascii="Arial" w:eastAsia="Times New Roman" w:hAnsi="Arial" w:cs="Arial"/>
            <w:color w:val="1A0DAB"/>
            <w:sz w:val="23"/>
            <w:szCs w:val="23"/>
            <w:u w:val="single"/>
          </w:rPr>
          <w:t xml:space="preserve"> 467 U.S. at 478, 104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2518</w:t>
        </w:r>
      </w:hyperlink>
      <w:r w:rsidRPr="00851945">
        <w:rPr>
          <w:rFonts w:ascii="Arial" w:eastAsia="Times New Roman" w:hAnsi="Arial" w:cs="Arial"/>
          <w:color w:val="222222"/>
          <w:sz w:val="23"/>
          <w:szCs w:val="23"/>
        </w:rPr>
        <w:t xml:space="preserve">. To be sure, state law does not prevent the federal government from enforcing its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laws against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users in Oregon if the federal government chooses to do so. But the state law at issue in </w:t>
      </w:r>
      <w:r w:rsidRPr="00851945">
        <w:rPr>
          <w:rFonts w:ascii="Arial" w:eastAsia="Times New Roman" w:hAnsi="Arial" w:cs="Arial"/>
          <w:i/>
          <w:iCs/>
          <w:color w:val="222222"/>
          <w:sz w:val="23"/>
          <w:szCs w:val="23"/>
        </w:rPr>
        <w:t>Michigan Canners</w:t>
      </w:r>
      <w:r w:rsidRPr="00851945">
        <w:rPr>
          <w:rFonts w:ascii="Arial" w:eastAsia="Times New Roman" w:hAnsi="Arial" w:cs="Arial"/>
          <w:color w:val="222222"/>
          <w:sz w:val="23"/>
          <w:szCs w:val="23"/>
        </w:rPr>
        <w:t xml:space="preserve"> did not prevent the federal government from seeking injunctive and other relief to enforce the federal prohibition in that case. Rather, state law stood as an obstacle to the enforcement of federal law in </w:t>
      </w:r>
      <w:r w:rsidRPr="00851945">
        <w:rPr>
          <w:rFonts w:ascii="Arial" w:eastAsia="Times New Roman" w:hAnsi="Arial" w:cs="Arial"/>
          <w:i/>
          <w:iCs/>
          <w:color w:val="222222"/>
          <w:sz w:val="23"/>
          <w:szCs w:val="23"/>
        </w:rPr>
        <w:t>Michigan Canners</w:t>
      </w:r>
      <w:r w:rsidRPr="00851945">
        <w:rPr>
          <w:rFonts w:ascii="Arial" w:eastAsia="Times New Roman" w:hAnsi="Arial" w:cs="Arial"/>
          <w:color w:val="222222"/>
          <w:sz w:val="23"/>
          <w:szCs w:val="23"/>
        </w:rPr>
        <w:t xml:space="preserve"> because state law affirmatively authorized the very conduct that federal law prohibited, as it does in this case.</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To the extent that ORS 475.306(1) affirmatively authorizes the use of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federal law preempts that subsection, leaving it "without effect." </w:t>
      </w:r>
      <w:r w:rsidRPr="00851945">
        <w:rPr>
          <w:rFonts w:ascii="Arial" w:eastAsia="Times New Roman" w:hAnsi="Arial" w:cs="Arial"/>
          <w:i/>
          <w:iCs/>
          <w:color w:val="222222"/>
          <w:sz w:val="23"/>
          <w:szCs w:val="23"/>
        </w:rPr>
        <w:t xml:space="preserve">See </w:t>
      </w:r>
      <w:hyperlink r:id="rId65" w:history="1">
        <w:proofErr w:type="spellStart"/>
        <w:r w:rsidRPr="00851945">
          <w:rPr>
            <w:rFonts w:ascii="Arial" w:eastAsia="Times New Roman" w:hAnsi="Arial" w:cs="Arial"/>
            <w:i/>
            <w:iCs/>
            <w:color w:val="1A0DAB"/>
            <w:sz w:val="23"/>
            <w:szCs w:val="23"/>
            <w:u w:val="single"/>
          </w:rPr>
          <w:t>Cipollone</w:t>
        </w:r>
        <w:proofErr w:type="spellEnd"/>
        <w:r w:rsidRPr="00851945">
          <w:rPr>
            <w:rFonts w:ascii="Arial" w:eastAsia="Times New Roman" w:hAnsi="Arial" w:cs="Arial"/>
            <w:i/>
            <w:iCs/>
            <w:color w:val="1A0DAB"/>
            <w:sz w:val="23"/>
            <w:szCs w:val="23"/>
            <w:u w:val="single"/>
          </w:rPr>
          <w:t xml:space="preserve"> v. Liggett Group, Inc.,</w:t>
        </w:r>
        <w:r w:rsidRPr="00851945">
          <w:rPr>
            <w:rFonts w:ascii="Arial" w:eastAsia="Times New Roman" w:hAnsi="Arial" w:cs="Arial"/>
            <w:color w:val="1A0DAB"/>
            <w:sz w:val="23"/>
            <w:szCs w:val="23"/>
            <w:u w:val="single"/>
          </w:rPr>
          <w:t xml:space="preserve"> 505 U.S. 504, 516, 112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2608, 120 L.Ed.2d 407 (1992)</w:t>
        </w:r>
      </w:hyperlink>
      <w:r w:rsidRPr="00851945">
        <w:rPr>
          <w:rFonts w:ascii="Arial" w:eastAsia="Times New Roman" w:hAnsi="Arial" w:cs="Arial"/>
          <w:color w:val="222222"/>
          <w:sz w:val="23"/>
          <w:szCs w:val="23"/>
        </w:rPr>
        <w:t xml:space="preserve"> ("[S]</w:t>
      </w:r>
      <w:proofErr w:type="spellStart"/>
      <w:r w:rsidRPr="00851945">
        <w:rPr>
          <w:rFonts w:ascii="Arial" w:eastAsia="Times New Roman" w:hAnsi="Arial" w:cs="Arial"/>
          <w:color w:val="222222"/>
          <w:sz w:val="23"/>
          <w:szCs w:val="23"/>
        </w:rPr>
        <w:t>ince</w:t>
      </w:r>
      <w:proofErr w:type="spellEnd"/>
      <w:r w:rsidRPr="00851945">
        <w:rPr>
          <w:rFonts w:ascii="Arial" w:eastAsia="Times New Roman" w:hAnsi="Arial" w:cs="Arial"/>
          <w:color w:val="222222"/>
          <w:sz w:val="23"/>
          <w:szCs w:val="23"/>
        </w:rPr>
        <w:t xml:space="preserve"> our decision in </w:t>
      </w:r>
      <w:hyperlink r:id="rId66" w:history="1">
        <w:r w:rsidRPr="00851945">
          <w:rPr>
            <w:rFonts w:ascii="Arial" w:eastAsia="Times New Roman" w:hAnsi="Arial" w:cs="Arial"/>
            <w:i/>
            <w:iCs/>
            <w:color w:val="1A0DAB"/>
            <w:sz w:val="23"/>
            <w:szCs w:val="23"/>
            <w:u w:val="single"/>
          </w:rPr>
          <w:t>McCulloch v. Maryland,</w:t>
        </w:r>
        <w:r w:rsidRPr="00851945">
          <w:rPr>
            <w:rFonts w:ascii="Arial" w:eastAsia="Times New Roman" w:hAnsi="Arial" w:cs="Arial"/>
            <w:color w:val="1A0DAB"/>
            <w:sz w:val="23"/>
            <w:szCs w:val="23"/>
            <w:u w:val="single"/>
          </w:rPr>
          <w:t xml:space="preserve"> 4 Wheat. 316, 427 [4 </w:t>
        </w:r>
        <w:proofErr w:type="spellStart"/>
        <w:r w:rsidRPr="00851945">
          <w:rPr>
            <w:rFonts w:ascii="Arial" w:eastAsia="Times New Roman" w:hAnsi="Arial" w:cs="Arial"/>
            <w:color w:val="1A0DAB"/>
            <w:sz w:val="23"/>
            <w:szCs w:val="23"/>
            <w:u w:val="single"/>
          </w:rPr>
          <w:t>L.Ed</w:t>
        </w:r>
        <w:proofErr w:type="spellEnd"/>
        <w:r w:rsidRPr="00851945">
          <w:rPr>
            <w:rFonts w:ascii="Arial" w:eastAsia="Times New Roman" w:hAnsi="Arial" w:cs="Arial"/>
            <w:color w:val="1A0DAB"/>
            <w:sz w:val="23"/>
            <w:szCs w:val="23"/>
            <w:u w:val="single"/>
          </w:rPr>
          <w:t>. 579]</w:t>
        </w:r>
      </w:hyperlink>
      <w:r w:rsidRPr="00851945">
        <w:rPr>
          <w:rFonts w:ascii="Arial" w:eastAsia="Times New Roman" w:hAnsi="Arial" w:cs="Arial"/>
          <w:color w:val="222222"/>
          <w:sz w:val="23"/>
          <w:szCs w:val="23"/>
        </w:rPr>
        <w:t xml:space="preserve"> (1819), it has been settled that state law that conflicts with federal law is `without effect.'"). Because ORS 475.306(1) was not enforceable when employer discharged employee, no enforceable state law either authorized employee's use of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or excluded its use from the "illegal use of drugs," as that phrase is defined in ORS 659A.122(2) and used in ORS 659A.124. It follows that BOLI could not rely on the exclusion in ORS </w:t>
      </w:r>
      <w:proofErr w:type="gramStart"/>
      <w:r w:rsidRPr="00851945">
        <w:rPr>
          <w:rFonts w:ascii="Arial" w:eastAsia="Times New Roman" w:hAnsi="Arial" w:cs="Arial"/>
          <w:color w:val="222222"/>
          <w:sz w:val="23"/>
          <w:szCs w:val="23"/>
        </w:rPr>
        <w:t>659A.122(</w:t>
      </w:r>
      <w:proofErr w:type="gramEnd"/>
      <w:r w:rsidRPr="00851945">
        <w:rPr>
          <w:rFonts w:ascii="Arial" w:eastAsia="Times New Roman" w:hAnsi="Arial" w:cs="Arial"/>
          <w:color w:val="222222"/>
          <w:sz w:val="23"/>
          <w:szCs w:val="23"/>
        </w:rPr>
        <w:t xml:space="preserve">2) for "uses authorized * * * under other provisions of state * * * law" to conclude that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use was not an illegal use of drugs within the meaning of ORS 659A.124.</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The commissioner reached a different conclusion regarding preemption, as would the dissenting opinion. We address the commissioner's reasoning before turning to the dissent. The commissioner, for his part, adopted the reasoning from an informal Attorney General opinion, dated June 17, 2005, </w:t>
      </w:r>
      <w:hyperlink r:id="rId67" w:anchor="p530" w:history="1">
        <w:r w:rsidRPr="00851945">
          <w:rPr>
            <w:rFonts w:ascii="Arial" w:eastAsia="Times New Roman" w:hAnsi="Arial" w:cs="Arial"/>
            <w:color w:val="AAAAAA"/>
            <w:sz w:val="20"/>
            <w:szCs w:val="20"/>
            <w:shd w:val="clear" w:color="auto" w:fill="FFFFFF"/>
          </w:rPr>
          <w:t>530</w:t>
        </w:r>
      </w:hyperlink>
      <w:hyperlink r:id="rId68" w:anchor="p530" w:history="1">
        <w:r w:rsidRPr="00851945">
          <w:rPr>
            <w:rFonts w:ascii="Arial" w:eastAsia="Times New Roman" w:hAnsi="Arial" w:cs="Arial"/>
            <w:color w:val="AAAAAA"/>
            <w:sz w:val="20"/>
            <w:szCs w:val="20"/>
          </w:rPr>
          <w:t>*530</w:t>
        </w:r>
      </w:hyperlink>
      <w:r w:rsidRPr="00851945">
        <w:rPr>
          <w:rFonts w:ascii="Arial" w:eastAsia="Times New Roman" w:hAnsi="Arial" w:cs="Arial"/>
          <w:color w:val="222222"/>
          <w:sz w:val="23"/>
          <w:szCs w:val="23"/>
        </w:rPr>
        <w:t xml:space="preserve"> which concluded that the Controlled Substances Act does not invalidate the Oregon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Act. Letter of Advice dated June 17, 2005, to Susan M. Allan, Public Health Direction, </w:t>
      </w:r>
      <w:proofErr w:type="gramStart"/>
      <w:r w:rsidRPr="00851945">
        <w:rPr>
          <w:rFonts w:ascii="Arial" w:eastAsia="Times New Roman" w:hAnsi="Arial" w:cs="Arial"/>
          <w:color w:val="222222"/>
          <w:sz w:val="23"/>
          <w:szCs w:val="23"/>
        </w:rPr>
        <w:t>Department</w:t>
      </w:r>
      <w:proofErr w:type="gramEnd"/>
      <w:r w:rsidRPr="00851945">
        <w:rPr>
          <w:rFonts w:ascii="Arial" w:eastAsia="Times New Roman" w:hAnsi="Arial" w:cs="Arial"/>
          <w:color w:val="222222"/>
          <w:sz w:val="23"/>
          <w:szCs w:val="23"/>
        </w:rPr>
        <w:t xml:space="preserve"> of Human Services. In reaching that conclusion, the Attorney General focused on those parts of the Oregon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Act that either exempt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users from state criminal liability or provide an affirmative defense to criminal charges. </w:t>
      </w:r>
      <w:proofErr w:type="gramStart"/>
      <w:r w:rsidRPr="00851945">
        <w:rPr>
          <w:rFonts w:ascii="Arial" w:eastAsia="Times New Roman" w:hAnsi="Arial" w:cs="Arial"/>
          <w:i/>
          <w:iCs/>
          <w:color w:val="222222"/>
          <w:sz w:val="23"/>
          <w:szCs w:val="23"/>
        </w:rPr>
        <w:t>Id.</w:t>
      </w:r>
      <w:r w:rsidRPr="00851945">
        <w:rPr>
          <w:rFonts w:ascii="Arial" w:eastAsia="Times New Roman" w:hAnsi="Arial" w:cs="Arial"/>
          <w:color w:val="222222"/>
          <w:sz w:val="23"/>
          <w:szCs w:val="23"/>
        </w:rPr>
        <w:t xml:space="preserve"> at 2.</w:t>
      </w:r>
      <w:bookmarkStart w:id="16" w:name="r[17]"/>
      <w:proofErr w:type="gramEnd"/>
      <w:r w:rsidRPr="00851945">
        <w:rPr>
          <w:rFonts w:ascii="Arial" w:eastAsia="Times New Roman" w:hAnsi="Arial" w:cs="Arial"/>
          <w:color w:val="222222"/>
          <w:sz w:val="23"/>
          <w:szCs w:val="23"/>
          <w:vertAlign w:val="superscript"/>
        </w:rPr>
        <w:fldChar w:fldCharType="begin"/>
      </w:r>
      <w:r w:rsidRPr="00851945">
        <w:rPr>
          <w:rFonts w:ascii="Arial" w:eastAsia="Times New Roman" w:hAnsi="Arial" w:cs="Arial"/>
          <w:color w:val="222222"/>
          <w:sz w:val="23"/>
          <w:szCs w:val="23"/>
          <w:vertAlign w:val="superscript"/>
        </w:rPr>
        <w:instrText xml:space="preserve"> HYPERLINK "http://scholar.google.com/scholar_case?case=12394314758738904678&amp;q=emerald+marijuana&amp;hl=en&amp;as_sdt=4,38" \l "[17]" </w:instrText>
      </w:r>
      <w:r w:rsidRPr="00851945">
        <w:rPr>
          <w:rFonts w:ascii="Arial" w:eastAsia="Times New Roman" w:hAnsi="Arial" w:cs="Arial"/>
          <w:color w:val="222222"/>
          <w:sz w:val="23"/>
          <w:szCs w:val="23"/>
          <w:vertAlign w:val="superscript"/>
        </w:rPr>
        <w:fldChar w:fldCharType="separate"/>
      </w:r>
      <w:r w:rsidRPr="00851945">
        <w:rPr>
          <w:rFonts w:ascii="Arial" w:eastAsia="Times New Roman" w:hAnsi="Arial" w:cs="Arial"/>
          <w:color w:val="1A0DAB"/>
          <w:sz w:val="23"/>
          <w:szCs w:val="23"/>
          <w:u w:val="single"/>
          <w:vertAlign w:val="superscript"/>
        </w:rPr>
        <w:t>[17]</w:t>
      </w:r>
      <w:r w:rsidRPr="00851945">
        <w:rPr>
          <w:rFonts w:ascii="Arial" w:eastAsia="Times New Roman" w:hAnsi="Arial" w:cs="Arial"/>
          <w:color w:val="222222"/>
          <w:sz w:val="23"/>
          <w:szCs w:val="23"/>
          <w:vertAlign w:val="superscript"/>
        </w:rPr>
        <w:fldChar w:fldCharType="end"/>
      </w:r>
      <w:bookmarkEnd w:id="16"/>
      <w:r w:rsidRPr="00851945">
        <w:rPr>
          <w:rFonts w:ascii="Arial" w:eastAsia="Times New Roman" w:hAnsi="Arial" w:cs="Arial"/>
          <w:color w:val="222222"/>
          <w:sz w:val="23"/>
          <w:szCs w:val="23"/>
        </w:rPr>
        <w:t xml:space="preserve"> In concluding that those exemptions from state criminal liability were valid, the Attorney General relied on a line of federal cases holding that "Congress cannot compel the States to enact or enforce a federal regulatory program." </w:t>
      </w:r>
      <w:r w:rsidRPr="00851945">
        <w:rPr>
          <w:rFonts w:ascii="Arial" w:eastAsia="Times New Roman" w:hAnsi="Arial" w:cs="Arial"/>
          <w:i/>
          <w:iCs/>
          <w:color w:val="222222"/>
          <w:sz w:val="23"/>
          <w:szCs w:val="23"/>
        </w:rPr>
        <w:t xml:space="preserve">See </w:t>
      </w:r>
      <w:hyperlink r:id="rId69" w:history="1">
        <w:proofErr w:type="spellStart"/>
        <w:r w:rsidRPr="00851945">
          <w:rPr>
            <w:rFonts w:ascii="Arial" w:eastAsia="Times New Roman" w:hAnsi="Arial" w:cs="Arial"/>
            <w:i/>
            <w:iCs/>
            <w:color w:val="1A0DAB"/>
            <w:sz w:val="23"/>
            <w:szCs w:val="23"/>
            <w:u w:val="single"/>
          </w:rPr>
          <w:t>Printz</w:t>
        </w:r>
        <w:proofErr w:type="spellEnd"/>
        <w:r w:rsidRPr="00851945">
          <w:rPr>
            <w:rFonts w:ascii="Arial" w:eastAsia="Times New Roman" w:hAnsi="Arial" w:cs="Arial"/>
            <w:i/>
            <w:iCs/>
            <w:color w:val="1A0DAB"/>
            <w:sz w:val="23"/>
            <w:szCs w:val="23"/>
            <w:u w:val="single"/>
          </w:rPr>
          <w:t xml:space="preserve"> v. United States,</w:t>
        </w:r>
        <w:r w:rsidRPr="00851945">
          <w:rPr>
            <w:rFonts w:ascii="Arial" w:eastAsia="Times New Roman" w:hAnsi="Arial" w:cs="Arial"/>
            <w:color w:val="1A0DAB"/>
            <w:sz w:val="23"/>
            <w:szCs w:val="23"/>
            <w:u w:val="single"/>
          </w:rPr>
          <w:t xml:space="preserve"> 521 U.S. 898, 935, 117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2365, 138 L.Ed.2d 914 (1997)</w:t>
        </w:r>
      </w:hyperlink>
      <w:r w:rsidRPr="00851945">
        <w:rPr>
          <w:rFonts w:ascii="Arial" w:eastAsia="Times New Roman" w:hAnsi="Arial" w:cs="Arial"/>
          <w:color w:val="222222"/>
          <w:sz w:val="23"/>
          <w:szCs w:val="23"/>
        </w:rPr>
        <w:t xml:space="preserve"> (so stating); </w:t>
      </w:r>
      <w:hyperlink r:id="rId70" w:history="1">
        <w:r w:rsidRPr="00851945">
          <w:rPr>
            <w:rFonts w:ascii="Arial" w:eastAsia="Times New Roman" w:hAnsi="Arial" w:cs="Arial"/>
            <w:i/>
            <w:iCs/>
            <w:color w:val="1A0DAB"/>
            <w:sz w:val="23"/>
            <w:szCs w:val="23"/>
            <w:u w:val="single"/>
          </w:rPr>
          <w:t>New York v. United States,</w:t>
        </w:r>
        <w:r w:rsidRPr="00851945">
          <w:rPr>
            <w:rFonts w:ascii="Arial" w:eastAsia="Times New Roman" w:hAnsi="Arial" w:cs="Arial"/>
            <w:color w:val="1A0DAB"/>
            <w:sz w:val="23"/>
            <w:szCs w:val="23"/>
            <w:u w:val="single"/>
          </w:rPr>
          <w:t xml:space="preserve"> 505 U.S. 144, 162, 112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2408, 120 L.Ed.2d 120 (1992)</w:t>
        </w:r>
      </w:hyperlink>
      <w:r w:rsidRPr="00851945">
        <w:rPr>
          <w:rFonts w:ascii="Arial" w:eastAsia="Times New Roman" w:hAnsi="Arial" w:cs="Arial"/>
          <w:color w:val="222222"/>
          <w:sz w:val="23"/>
          <w:szCs w:val="23"/>
        </w:rPr>
        <w:t xml:space="preserve"> (stating that "the Constitution has never been understood to confer upon Congress the ability to require the States to govern according to Congress's instructions"). The Attorney General concluded that Oregon was free, as a matter of state law, to exempt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use from criminal liability because Congress lacks the authority to require Oregon to prohibit that use.</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lastRenderedPageBreak/>
        <w:t xml:space="preserve">The Attorney General's opinion has no bearing on the issue presented in this case for two reasons. First, as noted, one subsection of the Oregon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Act affirmatively authorizes the use of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w:t>
      </w:r>
      <w:proofErr w:type="gramStart"/>
      <w:r w:rsidRPr="00851945">
        <w:rPr>
          <w:rFonts w:ascii="Arial" w:eastAsia="Times New Roman" w:hAnsi="Arial" w:cs="Arial"/>
          <w:color w:val="222222"/>
          <w:sz w:val="23"/>
          <w:szCs w:val="23"/>
        </w:rPr>
        <w:t>ORS 475.306(1).</w:t>
      </w:r>
      <w:proofErr w:type="gramEnd"/>
      <w:r w:rsidRPr="00851945">
        <w:rPr>
          <w:rFonts w:ascii="Arial" w:eastAsia="Times New Roman" w:hAnsi="Arial" w:cs="Arial"/>
          <w:color w:val="222222"/>
          <w:sz w:val="23"/>
          <w:szCs w:val="23"/>
        </w:rPr>
        <w:t xml:space="preserve"> Other provisions exempt its use from state criminal liability. </w:t>
      </w:r>
      <w:r w:rsidRPr="00851945">
        <w:rPr>
          <w:rFonts w:ascii="Arial" w:eastAsia="Times New Roman" w:hAnsi="Arial" w:cs="Arial"/>
          <w:i/>
          <w:iCs/>
          <w:color w:val="222222"/>
          <w:sz w:val="23"/>
          <w:szCs w:val="23"/>
        </w:rPr>
        <w:t>See, e.g.,</w:t>
      </w:r>
      <w:r w:rsidRPr="00851945">
        <w:rPr>
          <w:rFonts w:ascii="Arial" w:eastAsia="Times New Roman" w:hAnsi="Arial" w:cs="Arial"/>
          <w:color w:val="222222"/>
          <w:sz w:val="23"/>
          <w:szCs w:val="23"/>
        </w:rPr>
        <w:t xml:space="preserve"> ORS 475.309(1); ORS 475.319. In this case, only the validity of the authorization matters. ORS </w:t>
      </w:r>
      <w:proofErr w:type="gramStart"/>
      <w:r w:rsidRPr="00851945">
        <w:rPr>
          <w:rFonts w:ascii="Arial" w:eastAsia="Times New Roman" w:hAnsi="Arial" w:cs="Arial"/>
          <w:color w:val="222222"/>
          <w:sz w:val="23"/>
          <w:szCs w:val="23"/>
        </w:rPr>
        <w:t>659A.122(</w:t>
      </w:r>
      <w:proofErr w:type="gramEnd"/>
      <w:r w:rsidRPr="00851945">
        <w:rPr>
          <w:rFonts w:ascii="Arial" w:eastAsia="Times New Roman" w:hAnsi="Arial" w:cs="Arial"/>
          <w:color w:val="222222"/>
          <w:sz w:val="23"/>
          <w:szCs w:val="23"/>
        </w:rPr>
        <w:t xml:space="preserve">2) excludes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use from the definition of "illegal use of drugs" for the purposes of the state employment discrimination laws if state law authorizes that use. The Attorney General's opinion, however, addresses only the validity of the exemptions; it does not address the validity of the authorization found in ORS 475.306(1). It thus does not address the issue that is central to the resolution of this case.</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Second, and more importantly, the validity of the exemptions and the validity of the authorization turn on different constitutional principles. The Attorney General reasoned that the exemptions from criminal liability are valid because "Congress cannot compel the States to enact or enforce a federal regulatory program"—a restriction that derives from Congress's limited authority under the federal constitution. </w:t>
      </w:r>
      <w:r w:rsidRPr="00851945">
        <w:rPr>
          <w:rFonts w:ascii="Arial" w:eastAsia="Times New Roman" w:hAnsi="Arial" w:cs="Arial"/>
          <w:i/>
          <w:iCs/>
          <w:color w:val="222222"/>
          <w:sz w:val="23"/>
          <w:szCs w:val="23"/>
        </w:rPr>
        <w:t xml:space="preserve">See </w:t>
      </w:r>
      <w:hyperlink r:id="rId71" w:history="1">
        <w:proofErr w:type="spellStart"/>
        <w:r w:rsidRPr="00851945">
          <w:rPr>
            <w:rFonts w:ascii="Arial" w:eastAsia="Times New Roman" w:hAnsi="Arial" w:cs="Arial"/>
            <w:i/>
            <w:iCs/>
            <w:color w:val="1A0DAB"/>
            <w:sz w:val="23"/>
            <w:szCs w:val="23"/>
            <w:u w:val="single"/>
          </w:rPr>
          <w:t>Printz</w:t>
        </w:r>
        <w:proofErr w:type="spellEnd"/>
        <w:r w:rsidRPr="00851945">
          <w:rPr>
            <w:rFonts w:ascii="Arial" w:eastAsia="Times New Roman" w:hAnsi="Arial" w:cs="Arial"/>
            <w:i/>
            <w:iCs/>
            <w:color w:val="1A0DAB"/>
            <w:sz w:val="23"/>
            <w:szCs w:val="23"/>
            <w:u w:val="single"/>
          </w:rPr>
          <w:t>,</w:t>
        </w:r>
        <w:r w:rsidRPr="00851945">
          <w:rPr>
            <w:rFonts w:ascii="Arial" w:eastAsia="Times New Roman" w:hAnsi="Arial" w:cs="Arial"/>
            <w:color w:val="1A0DAB"/>
            <w:sz w:val="23"/>
            <w:szCs w:val="23"/>
            <w:u w:val="single"/>
          </w:rPr>
          <w:t xml:space="preserve"> 521 U.S. at 935, 117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2365</w:t>
        </w:r>
      </w:hyperlink>
      <w:r w:rsidRPr="00851945">
        <w:rPr>
          <w:rFonts w:ascii="Arial" w:eastAsia="Times New Roman" w:hAnsi="Arial" w:cs="Arial"/>
          <w:color w:val="222222"/>
          <w:sz w:val="23"/>
          <w:szCs w:val="23"/>
        </w:rPr>
        <w:t xml:space="preserve"> (stating limited authority); </w:t>
      </w:r>
      <w:hyperlink r:id="rId72" w:history="1">
        <w:r w:rsidRPr="00851945">
          <w:rPr>
            <w:rFonts w:ascii="Arial" w:eastAsia="Times New Roman" w:hAnsi="Arial" w:cs="Arial"/>
            <w:i/>
            <w:iCs/>
            <w:color w:val="1A0DAB"/>
            <w:sz w:val="23"/>
            <w:szCs w:val="23"/>
            <w:u w:val="single"/>
          </w:rPr>
          <w:t>New York,</w:t>
        </w:r>
        <w:r w:rsidRPr="00851945">
          <w:rPr>
            <w:rFonts w:ascii="Arial" w:eastAsia="Times New Roman" w:hAnsi="Arial" w:cs="Arial"/>
            <w:color w:val="1A0DAB"/>
            <w:sz w:val="23"/>
            <w:szCs w:val="23"/>
            <w:u w:val="single"/>
          </w:rPr>
          <w:t xml:space="preserve"> 505 U.S. at 161-66, 112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2408</w:t>
        </w:r>
      </w:hyperlink>
      <w:r w:rsidRPr="00851945">
        <w:rPr>
          <w:rFonts w:ascii="Arial" w:eastAsia="Times New Roman" w:hAnsi="Arial" w:cs="Arial"/>
          <w:color w:val="222222"/>
          <w:sz w:val="23"/>
          <w:szCs w:val="23"/>
        </w:rPr>
        <w:t xml:space="preserve"> (describing the sources of that limitation). Under the Attorney General's reasoning and the United States Supreme Court decisions on which his opinion relies, Congress lacks authority to require states to criminalize conduct that the states choose to leave unregulated, no matter how explicitly Congress directs the states to do so.</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By contrast, there is no dispute that Congress has the authority under the Supremacy Clause to preempt state laws that affirmatively authorize the use of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Whether Congress has exercised that authority turns on congressional intent: that is, did Congress intend to preempt the state law? </w:t>
      </w:r>
      <w:r w:rsidRPr="00851945">
        <w:rPr>
          <w:rFonts w:ascii="Arial" w:eastAsia="Times New Roman" w:hAnsi="Arial" w:cs="Arial"/>
          <w:i/>
          <w:iCs/>
          <w:color w:val="222222"/>
          <w:sz w:val="23"/>
          <w:szCs w:val="23"/>
        </w:rPr>
        <w:t xml:space="preserve">See </w:t>
      </w:r>
      <w:hyperlink r:id="rId73" w:history="1">
        <w:proofErr w:type="spellStart"/>
        <w:r w:rsidRPr="00851945">
          <w:rPr>
            <w:rFonts w:ascii="Arial" w:eastAsia="Times New Roman" w:hAnsi="Arial" w:cs="Arial"/>
            <w:i/>
            <w:iCs/>
            <w:color w:val="1A0DAB"/>
            <w:sz w:val="23"/>
            <w:szCs w:val="23"/>
            <w:u w:val="single"/>
          </w:rPr>
          <w:t>Cipollone</w:t>
        </w:r>
        <w:proofErr w:type="spellEnd"/>
        <w:r w:rsidRPr="00851945">
          <w:rPr>
            <w:rFonts w:ascii="Arial" w:eastAsia="Times New Roman" w:hAnsi="Arial" w:cs="Arial"/>
            <w:i/>
            <w:iCs/>
            <w:color w:val="1A0DAB"/>
            <w:sz w:val="23"/>
            <w:szCs w:val="23"/>
            <w:u w:val="single"/>
          </w:rPr>
          <w:t>,</w:t>
        </w:r>
        <w:r w:rsidRPr="00851945">
          <w:rPr>
            <w:rFonts w:ascii="Arial" w:eastAsia="Times New Roman" w:hAnsi="Arial" w:cs="Arial"/>
            <w:color w:val="1A0DAB"/>
            <w:sz w:val="23"/>
            <w:szCs w:val="23"/>
            <w:u w:val="single"/>
          </w:rPr>
          <w:t xml:space="preserve"> 505 U.S. at 516, 112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2608</w:t>
        </w:r>
      </w:hyperlink>
      <w:r w:rsidRPr="00851945">
        <w:rPr>
          <w:rFonts w:ascii="Arial" w:eastAsia="Times New Roman" w:hAnsi="Arial" w:cs="Arial"/>
          <w:color w:val="222222"/>
          <w:sz w:val="23"/>
          <w:szCs w:val="23"/>
        </w:rPr>
        <w:t xml:space="preserve"> (describing preemption doctrine). More specifically, the constitutional question in this case is whether, under the doctrine of implied preemption, a state law authorizing the use of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"stands as an obstacle to the accomplishment and execution of the full purposes and objectives of Congress." </w:t>
      </w:r>
      <w:r w:rsidRPr="00851945">
        <w:rPr>
          <w:rFonts w:ascii="Arial" w:eastAsia="Times New Roman" w:hAnsi="Arial" w:cs="Arial"/>
          <w:i/>
          <w:iCs/>
          <w:color w:val="222222"/>
          <w:sz w:val="23"/>
          <w:szCs w:val="23"/>
        </w:rPr>
        <w:t xml:space="preserve">See </w:t>
      </w:r>
      <w:hyperlink r:id="rId74" w:history="1">
        <w:r w:rsidRPr="00851945">
          <w:rPr>
            <w:rFonts w:ascii="Arial" w:eastAsia="Times New Roman" w:hAnsi="Arial" w:cs="Arial"/>
            <w:i/>
            <w:iCs/>
            <w:color w:val="1A0DAB"/>
            <w:sz w:val="23"/>
            <w:szCs w:val="23"/>
            <w:u w:val="single"/>
          </w:rPr>
          <w:t>Hines,</w:t>
        </w:r>
        <w:r w:rsidRPr="00851945">
          <w:rPr>
            <w:rFonts w:ascii="Arial" w:eastAsia="Times New Roman" w:hAnsi="Arial" w:cs="Arial"/>
            <w:color w:val="1A0DAB"/>
            <w:sz w:val="23"/>
            <w:szCs w:val="23"/>
            <w:u w:val="single"/>
          </w:rPr>
          <w:t xml:space="preserve"> 312 U.S. at 67, </w:t>
        </w:r>
        <w:proofErr w:type="gramStart"/>
        <w:r w:rsidRPr="00851945">
          <w:rPr>
            <w:rFonts w:ascii="Arial" w:eastAsia="Times New Roman" w:hAnsi="Arial" w:cs="Arial"/>
            <w:color w:val="1A0DAB"/>
            <w:sz w:val="23"/>
            <w:szCs w:val="23"/>
            <w:u w:val="single"/>
          </w:rPr>
          <w:t xml:space="preserve">61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399</w:t>
        </w:r>
      </w:hyperlink>
      <w:proofErr w:type="gramEnd"/>
      <w:r w:rsidRPr="00851945">
        <w:rPr>
          <w:rFonts w:ascii="Arial" w:eastAsia="Times New Roman" w:hAnsi="Arial" w:cs="Arial"/>
          <w:color w:val="222222"/>
          <w:sz w:val="23"/>
          <w:szCs w:val="23"/>
        </w:rPr>
        <w:t xml:space="preserve"> (stating that test). Nothing in the Attorney General's opinion addresses that question, and the commissioner erred in finding an answer in the Attorney General's opinion </w:t>
      </w:r>
      <w:hyperlink r:id="rId75" w:anchor="p531" w:history="1">
        <w:r w:rsidRPr="00851945">
          <w:rPr>
            <w:rFonts w:ascii="Arial" w:eastAsia="Times New Roman" w:hAnsi="Arial" w:cs="Arial"/>
            <w:color w:val="AAAAAA"/>
            <w:sz w:val="20"/>
            <w:szCs w:val="20"/>
            <w:shd w:val="clear" w:color="auto" w:fill="FFFFFF"/>
          </w:rPr>
          <w:t>531</w:t>
        </w:r>
      </w:hyperlink>
      <w:hyperlink r:id="rId76" w:anchor="p531" w:history="1">
        <w:r w:rsidRPr="00851945">
          <w:rPr>
            <w:rFonts w:ascii="Arial" w:eastAsia="Times New Roman" w:hAnsi="Arial" w:cs="Arial"/>
            <w:color w:val="AAAAAA"/>
            <w:sz w:val="20"/>
            <w:szCs w:val="20"/>
          </w:rPr>
          <w:t>*531</w:t>
        </w:r>
      </w:hyperlink>
      <w:r w:rsidRPr="00851945">
        <w:rPr>
          <w:rFonts w:ascii="Arial" w:eastAsia="Times New Roman" w:hAnsi="Arial" w:cs="Arial"/>
          <w:color w:val="222222"/>
          <w:sz w:val="23"/>
          <w:szCs w:val="23"/>
        </w:rPr>
        <w:t xml:space="preserve"> to a question that the Attorney General never addressed.</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The dissent addresses the issue that the Attorney General's opinion did not and would hold for alternative reasons that ORS 475.306(1) does not stand as an obstacle to the full accomplishment of Congress's purposes in enacting the Controlled Substances Act. The dissent reasons that, because ORS 475.306(1) does not "</w:t>
      </w:r>
      <w:proofErr w:type="spellStart"/>
      <w:r w:rsidRPr="00851945">
        <w:rPr>
          <w:rFonts w:ascii="Arial" w:eastAsia="Times New Roman" w:hAnsi="Arial" w:cs="Arial"/>
          <w:color w:val="222222"/>
          <w:sz w:val="23"/>
          <w:szCs w:val="23"/>
        </w:rPr>
        <w:t>giv</w:t>
      </w:r>
      <w:proofErr w:type="spellEnd"/>
      <w:r w:rsidRPr="00851945">
        <w:rPr>
          <w:rFonts w:ascii="Arial" w:eastAsia="Times New Roman" w:hAnsi="Arial" w:cs="Arial"/>
          <w:color w:val="222222"/>
          <w:sz w:val="23"/>
          <w:szCs w:val="23"/>
        </w:rPr>
        <w:t xml:space="preserve">[e] permission to violate the Controlled Substances Act or </w:t>
      </w:r>
      <w:proofErr w:type="spellStart"/>
      <w:r w:rsidRPr="00851945">
        <w:rPr>
          <w:rFonts w:ascii="Arial" w:eastAsia="Times New Roman" w:hAnsi="Arial" w:cs="Arial"/>
          <w:color w:val="222222"/>
          <w:sz w:val="23"/>
          <w:szCs w:val="23"/>
        </w:rPr>
        <w:t>affec</w:t>
      </w:r>
      <w:proofErr w:type="spellEnd"/>
      <w:r w:rsidRPr="00851945">
        <w:rPr>
          <w:rFonts w:ascii="Arial" w:eastAsia="Times New Roman" w:hAnsi="Arial" w:cs="Arial"/>
          <w:color w:val="222222"/>
          <w:sz w:val="23"/>
          <w:szCs w:val="23"/>
        </w:rPr>
        <w:t xml:space="preserve">[t] its enforcement, [that subsection] does not pose an obstacle to the federal act necessitating a finding of implied preemption." 348 Or. </w:t>
      </w:r>
      <w:proofErr w:type="gramStart"/>
      <w:r w:rsidRPr="00851945">
        <w:rPr>
          <w:rFonts w:ascii="Arial" w:eastAsia="Times New Roman" w:hAnsi="Arial" w:cs="Arial"/>
          <w:color w:val="222222"/>
          <w:sz w:val="23"/>
          <w:szCs w:val="23"/>
        </w:rPr>
        <w:t>at</w:t>
      </w:r>
      <w:proofErr w:type="gramEnd"/>
      <w:r w:rsidRPr="00851945">
        <w:rPr>
          <w:rFonts w:ascii="Arial" w:eastAsia="Times New Roman" w:hAnsi="Arial" w:cs="Arial"/>
          <w:color w:val="222222"/>
          <w:sz w:val="23"/>
          <w:szCs w:val="23"/>
        </w:rPr>
        <w:t xml:space="preserve"> 197, 230 P.3d at 539 (Walters, J., dissenting).</w:t>
      </w:r>
      <w:bookmarkStart w:id="17" w:name="r[18]"/>
      <w:r w:rsidRPr="00851945">
        <w:rPr>
          <w:rFonts w:ascii="Arial" w:eastAsia="Times New Roman" w:hAnsi="Arial" w:cs="Arial"/>
          <w:color w:val="222222"/>
          <w:sz w:val="23"/>
          <w:szCs w:val="23"/>
          <w:vertAlign w:val="superscript"/>
        </w:rPr>
        <w:fldChar w:fldCharType="begin"/>
      </w:r>
      <w:r w:rsidRPr="00851945">
        <w:rPr>
          <w:rFonts w:ascii="Arial" w:eastAsia="Times New Roman" w:hAnsi="Arial" w:cs="Arial"/>
          <w:color w:val="222222"/>
          <w:sz w:val="23"/>
          <w:szCs w:val="23"/>
          <w:vertAlign w:val="superscript"/>
        </w:rPr>
        <w:instrText xml:space="preserve"> HYPERLINK "http://scholar.google.com/scholar_case?case=12394314758738904678&amp;q=emerald+marijuana&amp;hl=en&amp;as_sdt=4,38" \l "[18]" </w:instrText>
      </w:r>
      <w:r w:rsidRPr="00851945">
        <w:rPr>
          <w:rFonts w:ascii="Arial" w:eastAsia="Times New Roman" w:hAnsi="Arial" w:cs="Arial"/>
          <w:color w:val="222222"/>
          <w:sz w:val="23"/>
          <w:szCs w:val="23"/>
          <w:vertAlign w:val="superscript"/>
        </w:rPr>
        <w:fldChar w:fldCharType="separate"/>
      </w:r>
      <w:r w:rsidRPr="00851945">
        <w:rPr>
          <w:rFonts w:ascii="Arial" w:eastAsia="Times New Roman" w:hAnsi="Arial" w:cs="Arial"/>
          <w:color w:val="1A0DAB"/>
          <w:sz w:val="23"/>
          <w:szCs w:val="23"/>
          <w:u w:val="single"/>
          <w:vertAlign w:val="superscript"/>
        </w:rPr>
        <w:t>[18]</w:t>
      </w:r>
      <w:r w:rsidRPr="00851945">
        <w:rPr>
          <w:rFonts w:ascii="Arial" w:eastAsia="Times New Roman" w:hAnsi="Arial" w:cs="Arial"/>
          <w:color w:val="222222"/>
          <w:sz w:val="23"/>
          <w:szCs w:val="23"/>
          <w:vertAlign w:val="superscript"/>
        </w:rPr>
        <w:fldChar w:fldCharType="end"/>
      </w:r>
      <w:bookmarkEnd w:id="17"/>
      <w:r w:rsidRPr="00851945">
        <w:rPr>
          <w:rFonts w:ascii="Arial" w:eastAsia="Times New Roman" w:hAnsi="Arial" w:cs="Arial"/>
          <w:color w:val="222222"/>
          <w:sz w:val="23"/>
          <w:szCs w:val="23"/>
        </w:rPr>
        <w:t xml:space="preserve"> In the dissent's view, the fact that a state law affirmatively authorizes conduct that federal law explicitly forbids is not sufficient to find that the state law poses an obstacle to the full accomplishment of the purposes of the federal law and is thus preempted. The dissent also advances what appears to be an alternative basis for its position. It reasons that the Oregon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Act, as a whole, exempts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use from state criminal liability and that ORS 475.306(1) is merely one part of that larger exemption. It appears to draw two different legal conclusions from that alternative proposition. It suggests that, to the extent ORS 475.306(1) merely </w:t>
      </w:r>
      <w:r w:rsidRPr="00851945">
        <w:rPr>
          <w:rFonts w:ascii="Arial" w:eastAsia="Times New Roman" w:hAnsi="Arial" w:cs="Arial"/>
          <w:color w:val="222222"/>
          <w:sz w:val="23"/>
          <w:szCs w:val="23"/>
        </w:rPr>
        <w:lastRenderedPageBreak/>
        <w:t xml:space="preserve">exempts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use from criminal liability, </w:t>
      </w:r>
      <w:proofErr w:type="gramStart"/>
      <w:r w:rsidRPr="00851945">
        <w:rPr>
          <w:rFonts w:ascii="Arial" w:eastAsia="Times New Roman" w:hAnsi="Arial" w:cs="Arial"/>
          <w:color w:val="222222"/>
          <w:sz w:val="23"/>
          <w:szCs w:val="23"/>
        </w:rPr>
        <w:t>then</w:t>
      </w:r>
      <w:proofErr w:type="gramEnd"/>
      <w:r w:rsidRPr="00851945">
        <w:rPr>
          <w:rFonts w:ascii="Arial" w:eastAsia="Times New Roman" w:hAnsi="Arial" w:cs="Arial"/>
          <w:color w:val="222222"/>
          <w:sz w:val="23"/>
          <w:szCs w:val="23"/>
        </w:rPr>
        <w:t xml:space="preserve"> Congress lacks power to require states to criminalize that conduct under the line of cases that the Attorney General cited. Alternatively, it suggests that, because authorization is merely the other side of the coin from exemption, authorizing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use poses no more of an obstacle to the accomplishment of the purposes of the Controlled Substances Act than exempting that use from state criminal liability and thus that use is not preempted. We begin with the test that the dissent would employ in obstacle preemption cases.</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As noted, the dissent would hold that a state law stands as an obstacle to the execution and accomplishment of the full purposes of a federal law (and is thus preempted) if the state law purports to override federal law either by giving permission to violate the federal law or by preventing the federal government from enforcing its laws. We do not disagree that such a law would be an obstacle. But it does not follow that anything less is not an obstacle. Specifically, we disagree with the dissent's view that a state law that specifically authorizes conduct that a federal law expressly forbids does not pose an obstacle to the full accomplishment of the purposes of the federal law and is not preempted.</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If Congress chose to prohibit anyone under the age of 21 from driving, states could not authorize anyone over the age of 16 to drive and give them a license to do so. The state law would stand as an obstacle to the accomplishment of the full purposes and objectives of Congress (keeping everyone under the age of 21 off the road) and would be preempted. Or, to use a different example, if federal law prohibited all sale and possession of alcohol, a state law licensing the sale of alcohol and authorizing its use would stand as an obstacle to the full accomplishment of Congress's purposes. ORS 475.306(1) is no different. To the extent that ORS 475.306(1) authorizes persons holding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licenses to engage in conduct that the Controlled Substances Act explicitly prohibits, it poses the same obstacle to the full accomplishment of Congress's purposes (preventing all use of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including medical uses).</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The dissent, however, reasons that one state case and four federal cases support its view of obstacle preemption. It reads </w:t>
      </w:r>
      <w:hyperlink r:id="rId77" w:history="1">
        <w:r w:rsidRPr="00851945">
          <w:rPr>
            <w:rFonts w:ascii="Arial" w:eastAsia="Times New Roman" w:hAnsi="Arial" w:cs="Arial"/>
            <w:i/>
            <w:iCs/>
            <w:color w:val="1A0DAB"/>
            <w:sz w:val="23"/>
            <w:szCs w:val="23"/>
            <w:u w:val="single"/>
          </w:rPr>
          <w:t>State v. Rodriguez,</w:t>
        </w:r>
        <w:r w:rsidRPr="00851945">
          <w:rPr>
            <w:rFonts w:ascii="Arial" w:eastAsia="Times New Roman" w:hAnsi="Arial" w:cs="Arial"/>
            <w:color w:val="1A0DAB"/>
            <w:sz w:val="23"/>
            <w:szCs w:val="23"/>
            <w:u w:val="single"/>
          </w:rPr>
          <w:t xml:space="preserve"> 317 </w:t>
        </w:r>
        <w:proofErr w:type="gramStart"/>
        <w:r w:rsidRPr="00851945">
          <w:rPr>
            <w:rFonts w:ascii="Arial" w:eastAsia="Times New Roman" w:hAnsi="Arial" w:cs="Arial"/>
            <w:color w:val="1A0DAB"/>
            <w:sz w:val="23"/>
            <w:szCs w:val="23"/>
            <w:u w:val="single"/>
          </w:rPr>
          <w:t>Or</w:t>
        </w:r>
        <w:proofErr w:type="gramEnd"/>
        <w:r w:rsidRPr="00851945">
          <w:rPr>
            <w:rFonts w:ascii="Arial" w:eastAsia="Times New Roman" w:hAnsi="Arial" w:cs="Arial"/>
            <w:color w:val="1A0DAB"/>
            <w:sz w:val="23"/>
            <w:szCs w:val="23"/>
            <w:u w:val="single"/>
          </w:rPr>
          <w:t xml:space="preserve">. </w:t>
        </w:r>
        <w:proofErr w:type="gramStart"/>
        <w:r w:rsidRPr="00851945">
          <w:rPr>
            <w:rFonts w:ascii="Arial" w:eastAsia="Times New Roman" w:hAnsi="Arial" w:cs="Arial"/>
            <w:color w:val="1A0DAB"/>
            <w:sz w:val="23"/>
            <w:szCs w:val="23"/>
            <w:u w:val="single"/>
          </w:rPr>
          <w:t>27, 854 P.2d 399 (1993),</w:t>
        </w:r>
      </w:hyperlink>
      <w:r w:rsidRPr="00851945">
        <w:rPr>
          <w:rFonts w:ascii="Arial" w:eastAsia="Times New Roman" w:hAnsi="Arial" w:cs="Arial"/>
          <w:color w:val="222222"/>
          <w:sz w:val="23"/>
          <w:szCs w:val="23"/>
        </w:rPr>
        <w:t xml:space="preserve"> as providing direct support for its view.</w:t>
      </w:r>
      <w:proofErr w:type="gramEnd"/>
      <w:r w:rsidRPr="00851945">
        <w:rPr>
          <w:rFonts w:ascii="Arial" w:eastAsia="Times New Roman" w:hAnsi="Arial" w:cs="Arial"/>
          <w:color w:val="222222"/>
          <w:sz w:val="23"/>
          <w:szCs w:val="23"/>
        </w:rPr>
        <w:t xml:space="preserve"> </w:t>
      </w:r>
      <w:r w:rsidRPr="00851945">
        <w:rPr>
          <w:rFonts w:ascii="Arial" w:eastAsia="Times New Roman" w:hAnsi="Arial" w:cs="Arial"/>
          <w:i/>
          <w:iCs/>
          <w:color w:val="222222"/>
          <w:sz w:val="23"/>
          <w:szCs w:val="23"/>
        </w:rPr>
        <w:t>See</w:t>
      </w:r>
      <w:r w:rsidRPr="00851945">
        <w:rPr>
          <w:rFonts w:ascii="Arial" w:eastAsia="Times New Roman" w:hAnsi="Arial" w:cs="Arial"/>
          <w:color w:val="222222"/>
          <w:sz w:val="23"/>
          <w:szCs w:val="23"/>
        </w:rPr>
        <w:t xml:space="preserve"> 348 Or. </w:t>
      </w:r>
      <w:proofErr w:type="gramStart"/>
      <w:r w:rsidRPr="00851945">
        <w:rPr>
          <w:rFonts w:ascii="Arial" w:eastAsia="Times New Roman" w:hAnsi="Arial" w:cs="Arial"/>
          <w:color w:val="222222"/>
          <w:sz w:val="23"/>
          <w:szCs w:val="23"/>
        </w:rPr>
        <w:t>at</w:t>
      </w:r>
      <w:proofErr w:type="gramEnd"/>
      <w:r w:rsidRPr="00851945">
        <w:rPr>
          <w:rFonts w:ascii="Arial" w:eastAsia="Times New Roman" w:hAnsi="Arial" w:cs="Arial"/>
          <w:color w:val="222222"/>
          <w:sz w:val="23"/>
          <w:szCs w:val="23"/>
        </w:rPr>
        <w:t xml:space="preserve"> 197-98, 230 P.3d at 539-40 (Walters, J., dissenting). In </w:t>
      </w:r>
      <w:r w:rsidRPr="00851945">
        <w:rPr>
          <w:rFonts w:ascii="Arial" w:eastAsia="Times New Roman" w:hAnsi="Arial" w:cs="Arial"/>
          <w:i/>
          <w:iCs/>
          <w:color w:val="222222"/>
          <w:sz w:val="23"/>
          <w:szCs w:val="23"/>
        </w:rPr>
        <w:t>Rodriguez,</w:t>
      </w:r>
      <w:r w:rsidRPr="00851945">
        <w:rPr>
          <w:rFonts w:ascii="Arial" w:eastAsia="Times New Roman" w:hAnsi="Arial" w:cs="Arial"/>
          <w:color w:val="222222"/>
          <w:sz w:val="23"/>
          <w:szCs w:val="23"/>
        </w:rPr>
        <w:t xml:space="preserve"> federal </w:t>
      </w:r>
      <w:hyperlink r:id="rId78" w:anchor="p532" w:history="1">
        <w:r w:rsidRPr="00851945">
          <w:rPr>
            <w:rFonts w:ascii="Arial" w:eastAsia="Times New Roman" w:hAnsi="Arial" w:cs="Arial"/>
            <w:color w:val="AAAAAA"/>
            <w:sz w:val="20"/>
            <w:szCs w:val="20"/>
            <w:shd w:val="clear" w:color="auto" w:fill="FFFFFF"/>
          </w:rPr>
          <w:t>532</w:t>
        </w:r>
      </w:hyperlink>
      <w:hyperlink r:id="rId79" w:anchor="p532" w:history="1">
        <w:r w:rsidRPr="00851945">
          <w:rPr>
            <w:rFonts w:ascii="Arial" w:eastAsia="Times New Roman" w:hAnsi="Arial" w:cs="Arial"/>
            <w:color w:val="AAAAAA"/>
            <w:sz w:val="20"/>
            <w:szCs w:val="20"/>
          </w:rPr>
          <w:t>*532</w:t>
        </w:r>
      </w:hyperlink>
      <w:r w:rsidRPr="00851945">
        <w:rPr>
          <w:rFonts w:ascii="Arial" w:eastAsia="Times New Roman" w:hAnsi="Arial" w:cs="Arial"/>
          <w:color w:val="222222"/>
          <w:sz w:val="23"/>
          <w:szCs w:val="23"/>
        </w:rPr>
        <w:t xml:space="preserve"> Immigration and Naturalization Service (INS) agents obtained evidence pursuant to a federal administrative warrant that was valid under federal law but not under the Oregon Constitution, and the question was whether suppressing evidence obtained pursuant to that warrant in a state criminal proceeding was an obstacle to the accomplishment of the full purposes and objectives of the federal immigration laws. This court held that it was not. Suppressing evidence in the state criminal proceeding was completely unrelated to the INS's ability to carry out its separate mission of enforcing the federal immigration laws in a federal administrative proceeding. This court did not hold in </w:t>
      </w:r>
      <w:r w:rsidRPr="00851945">
        <w:rPr>
          <w:rFonts w:ascii="Arial" w:eastAsia="Times New Roman" w:hAnsi="Arial" w:cs="Arial"/>
          <w:i/>
          <w:iCs/>
          <w:color w:val="222222"/>
          <w:sz w:val="23"/>
          <w:szCs w:val="23"/>
        </w:rPr>
        <w:t>Rodriguez,</w:t>
      </w:r>
      <w:r w:rsidRPr="00851945">
        <w:rPr>
          <w:rFonts w:ascii="Arial" w:eastAsia="Times New Roman" w:hAnsi="Arial" w:cs="Arial"/>
          <w:color w:val="222222"/>
          <w:sz w:val="23"/>
          <w:szCs w:val="23"/>
        </w:rPr>
        <w:t xml:space="preserve"> as the dissent appears to conclude, that state law will be an obstacle to the full accomplishment of the purposes of the federal law only if state law interferes with the federal government's ability to enforce its laws.</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The dissent also relies on four United States Supreme Court cases "for the proposition that states may impose standards of conduct different from those imposed by federal law without creating an obstacle to the federal law." 348 Or. </w:t>
      </w:r>
      <w:proofErr w:type="gramStart"/>
      <w:r w:rsidRPr="00851945">
        <w:rPr>
          <w:rFonts w:ascii="Arial" w:eastAsia="Times New Roman" w:hAnsi="Arial" w:cs="Arial"/>
          <w:color w:val="222222"/>
          <w:sz w:val="23"/>
          <w:szCs w:val="23"/>
        </w:rPr>
        <w:t>at</w:t>
      </w:r>
      <w:proofErr w:type="gramEnd"/>
      <w:r w:rsidRPr="00851945">
        <w:rPr>
          <w:rFonts w:ascii="Arial" w:eastAsia="Times New Roman" w:hAnsi="Arial" w:cs="Arial"/>
          <w:color w:val="222222"/>
          <w:sz w:val="23"/>
          <w:szCs w:val="23"/>
        </w:rPr>
        <w:t xml:space="preserve"> 199, 230 P.3d at 541 (Walters, J., dissenting). It follows, the dissent reasons, that the mere fact that state law authorizes </w:t>
      </w:r>
      <w:r w:rsidRPr="00851945">
        <w:rPr>
          <w:rFonts w:ascii="Arial" w:eastAsia="Times New Roman" w:hAnsi="Arial" w:cs="Arial"/>
          <w:color w:val="222222"/>
          <w:sz w:val="23"/>
          <w:szCs w:val="23"/>
        </w:rPr>
        <w:lastRenderedPageBreak/>
        <w:t>conduct that federal law forbids does not mean that state law is an obstacle to the accomplishment of the purposes of the federal law. The four cases on which the dissent relies stand for a narrower proposition than the dissent draws from them. In interpreting the applicable federal statute in each of those cases, the Court concluded that Congress intended to leave states free to impose complementary or supplemental regulations on a person's conduct. None of those cases holds that states can authorize their citizens to engage in conduct that Congress explicitly has forbidden, as ORS 475.306(1) does.</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In </w:t>
      </w:r>
      <w:r w:rsidRPr="00851945">
        <w:rPr>
          <w:rFonts w:ascii="Arial" w:eastAsia="Times New Roman" w:hAnsi="Arial" w:cs="Arial"/>
          <w:i/>
          <w:iCs/>
          <w:color w:val="222222"/>
          <w:sz w:val="23"/>
          <w:szCs w:val="23"/>
        </w:rPr>
        <w:t>Wyeth,</w:t>
      </w:r>
      <w:r w:rsidRPr="00851945">
        <w:rPr>
          <w:rFonts w:ascii="Arial" w:eastAsia="Times New Roman" w:hAnsi="Arial" w:cs="Arial"/>
          <w:color w:val="222222"/>
          <w:sz w:val="23"/>
          <w:szCs w:val="23"/>
        </w:rPr>
        <w:t xml:space="preserve"> one of the cases on which the dissent relies, the defendant argued that permitting state tort remedies based on a drug manufacturer's failure to warn would "interfere with `Congress's purpose to entrust an expert agency to make drug labeling decisions that strike a balance between competing objectives.'" </w:t>
      </w:r>
      <w:hyperlink r:id="rId80" w:history="1">
        <w:r w:rsidRPr="00851945">
          <w:rPr>
            <w:rFonts w:ascii="Arial" w:eastAsia="Times New Roman" w:hAnsi="Arial" w:cs="Arial"/>
            <w:color w:val="1A0DAB"/>
            <w:sz w:val="23"/>
            <w:szCs w:val="23"/>
            <w:u w:val="single"/>
          </w:rPr>
          <w:t xml:space="preserve">129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at 1199</w:t>
        </w:r>
      </w:hyperlink>
      <w:r w:rsidRPr="00851945">
        <w:rPr>
          <w:rFonts w:ascii="Arial" w:eastAsia="Times New Roman" w:hAnsi="Arial" w:cs="Arial"/>
          <w:color w:val="222222"/>
          <w:sz w:val="23"/>
          <w:szCs w:val="23"/>
        </w:rPr>
        <w:t xml:space="preserve"> (quoting the defendant's argument). After considering the history of the federal statute, the Court concluded that "Congress did not intend FDA oversight to be the exclusive means of ensuring drug safety and effectiveness." </w:t>
      </w:r>
      <w:proofErr w:type="gramStart"/>
      <w:r w:rsidRPr="00851945">
        <w:rPr>
          <w:rFonts w:ascii="Arial" w:eastAsia="Times New Roman" w:hAnsi="Arial" w:cs="Arial"/>
          <w:i/>
          <w:iCs/>
          <w:color w:val="222222"/>
          <w:sz w:val="23"/>
          <w:szCs w:val="23"/>
        </w:rPr>
        <w:t>Id.</w:t>
      </w:r>
      <w:r w:rsidRPr="00851945">
        <w:rPr>
          <w:rFonts w:ascii="Arial" w:eastAsia="Times New Roman" w:hAnsi="Arial" w:cs="Arial"/>
          <w:color w:val="222222"/>
          <w:sz w:val="23"/>
          <w:szCs w:val="23"/>
        </w:rPr>
        <w:t xml:space="preserve"> at 1200.</w:t>
      </w:r>
      <w:proofErr w:type="gramEnd"/>
      <w:r w:rsidRPr="00851945">
        <w:rPr>
          <w:rFonts w:ascii="Arial" w:eastAsia="Times New Roman" w:hAnsi="Arial" w:cs="Arial"/>
          <w:color w:val="222222"/>
          <w:sz w:val="23"/>
          <w:szCs w:val="23"/>
        </w:rPr>
        <w:t xml:space="preserve"> The Court concluded instead that Congress intended to allow complementary state tort remedies. </w:t>
      </w:r>
      <w:r w:rsidRPr="00851945">
        <w:rPr>
          <w:rFonts w:ascii="Arial" w:eastAsia="Times New Roman" w:hAnsi="Arial" w:cs="Arial"/>
          <w:i/>
          <w:iCs/>
          <w:color w:val="222222"/>
          <w:sz w:val="23"/>
          <w:szCs w:val="23"/>
        </w:rPr>
        <w:t>Id.</w:t>
      </w:r>
      <w:r w:rsidRPr="00851945">
        <w:rPr>
          <w:rFonts w:ascii="Arial" w:eastAsia="Times New Roman" w:hAnsi="Arial" w:cs="Arial"/>
          <w:color w:val="222222"/>
          <w:sz w:val="23"/>
          <w:szCs w:val="23"/>
        </w:rPr>
        <w:t xml:space="preserve"> </w:t>
      </w:r>
      <w:proofErr w:type="gramStart"/>
      <w:r w:rsidRPr="00851945">
        <w:rPr>
          <w:rFonts w:ascii="Arial" w:eastAsia="Times New Roman" w:hAnsi="Arial" w:cs="Arial"/>
          <w:color w:val="222222"/>
          <w:sz w:val="23"/>
          <w:szCs w:val="23"/>
        </w:rPr>
        <w:t>Given that interpretation of the federal law, the Court determined that the state tort remedy was consistent with, and not an obstacle to, Congress's purpose in requiring warnings in the first place.</w:t>
      </w:r>
      <w:proofErr w:type="gramEnd"/>
      <w:r w:rsidRPr="00851945">
        <w:rPr>
          <w:rFonts w:ascii="Arial" w:eastAsia="Times New Roman" w:hAnsi="Arial" w:cs="Arial"/>
          <w:color w:val="222222"/>
          <w:sz w:val="23"/>
          <w:szCs w:val="23"/>
        </w:rPr>
        <w:t xml:space="preserve"> Put differently, the state law was not an obstacle to Congress's purpose because Congress intended to permit states to continue enforcing complementary tort remedies.</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The Court's opinion in </w:t>
      </w:r>
      <w:hyperlink r:id="rId81" w:history="1">
        <w:r w:rsidRPr="00851945">
          <w:rPr>
            <w:rFonts w:ascii="Arial" w:eastAsia="Times New Roman" w:hAnsi="Arial" w:cs="Arial"/>
            <w:i/>
            <w:iCs/>
            <w:color w:val="1A0DAB"/>
            <w:sz w:val="23"/>
            <w:szCs w:val="23"/>
            <w:u w:val="single"/>
          </w:rPr>
          <w:t>Florida Lime &amp; Avocado Growers, Inc. v. Paul,</w:t>
        </w:r>
        <w:r w:rsidRPr="00851945">
          <w:rPr>
            <w:rFonts w:ascii="Arial" w:eastAsia="Times New Roman" w:hAnsi="Arial" w:cs="Arial"/>
            <w:color w:val="1A0DAB"/>
            <w:sz w:val="23"/>
            <w:szCs w:val="23"/>
            <w:u w:val="single"/>
          </w:rPr>
          <w:t xml:space="preserve"> 373 U.S. 132, 83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1210, 10 L.Ed.2d 248 (1963),</w:t>
        </w:r>
      </w:hyperlink>
      <w:r w:rsidRPr="00851945">
        <w:rPr>
          <w:rFonts w:ascii="Arial" w:eastAsia="Times New Roman" w:hAnsi="Arial" w:cs="Arial"/>
          <w:color w:val="222222"/>
          <w:sz w:val="23"/>
          <w:szCs w:val="23"/>
        </w:rPr>
        <w:t xml:space="preserve"> on which the dissent also relies, is to the same effect. In that case, the Court determined that a federal marketing order setting minimum standards for picking, processing, and transporting avocados did not reflect a congressional intent to prevent states from enacting laws governing "the distribution and retail sale of those commodities." </w:t>
      </w:r>
      <w:hyperlink r:id="rId82" w:history="1">
        <w:r w:rsidRPr="00851945">
          <w:rPr>
            <w:rFonts w:ascii="Arial" w:eastAsia="Times New Roman" w:hAnsi="Arial" w:cs="Arial"/>
            <w:color w:val="1A0DAB"/>
            <w:sz w:val="23"/>
            <w:szCs w:val="23"/>
            <w:u w:val="single"/>
          </w:rPr>
          <w:t xml:space="preserve">373 U.S. at 145, 83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1210</w:t>
        </w:r>
      </w:hyperlink>
      <w:r w:rsidRPr="00851945">
        <w:rPr>
          <w:rFonts w:ascii="Arial" w:eastAsia="Times New Roman" w:hAnsi="Arial" w:cs="Arial"/>
          <w:color w:val="222222"/>
          <w:sz w:val="23"/>
          <w:szCs w:val="23"/>
        </w:rPr>
        <w:t>. As the Court explained, "[c]</w:t>
      </w:r>
      <w:proofErr w:type="spellStart"/>
      <w:r w:rsidRPr="00851945">
        <w:rPr>
          <w:rFonts w:ascii="Arial" w:eastAsia="Times New Roman" w:hAnsi="Arial" w:cs="Arial"/>
          <w:color w:val="222222"/>
          <w:sz w:val="23"/>
          <w:szCs w:val="23"/>
        </w:rPr>
        <w:t>ongressional</w:t>
      </w:r>
      <w:proofErr w:type="spellEnd"/>
      <w:r w:rsidRPr="00851945">
        <w:rPr>
          <w:rFonts w:ascii="Arial" w:eastAsia="Times New Roman" w:hAnsi="Arial" w:cs="Arial"/>
          <w:color w:val="222222"/>
          <w:sz w:val="23"/>
          <w:szCs w:val="23"/>
        </w:rPr>
        <w:t xml:space="preserve"> regulation at one end of the stream of commerce does not, </w:t>
      </w:r>
      <w:r w:rsidRPr="00851945">
        <w:rPr>
          <w:rFonts w:ascii="Arial" w:eastAsia="Times New Roman" w:hAnsi="Arial" w:cs="Arial"/>
          <w:i/>
          <w:iCs/>
          <w:color w:val="222222"/>
          <w:sz w:val="23"/>
          <w:szCs w:val="23"/>
        </w:rPr>
        <w:t>ipso facto,</w:t>
      </w:r>
      <w:r w:rsidRPr="00851945">
        <w:rPr>
          <w:rFonts w:ascii="Arial" w:eastAsia="Times New Roman" w:hAnsi="Arial" w:cs="Arial"/>
          <w:color w:val="222222"/>
          <w:sz w:val="23"/>
          <w:szCs w:val="23"/>
        </w:rPr>
        <w:t xml:space="preserve"> oust all state regulation at the other end." </w:t>
      </w:r>
      <w:r w:rsidRPr="00851945">
        <w:rPr>
          <w:rFonts w:ascii="Arial" w:eastAsia="Times New Roman" w:hAnsi="Arial" w:cs="Arial"/>
          <w:i/>
          <w:iCs/>
          <w:color w:val="222222"/>
          <w:sz w:val="23"/>
          <w:szCs w:val="23"/>
        </w:rPr>
        <w:t>Id.</w:t>
      </w:r>
      <w:r w:rsidRPr="00851945">
        <w:rPr>
          <w:rFonts w:ascii="Arial" w:eastAsia="Times New Roman" w:hAnsi="Arial" w:cs="Arial"/>
          <w:color w:val="222222"/>
          <w:sz w:val="23"/>
          <w:szCs w:val="23"/>
        </w:rPr>
        <w:t xml:space="preserve"> The Court accordingly concluded that there was "no irreconcilable conflict with the federal regulation [that] </w:t>
      </w:r>
      <w:proofErr w:type="gramStart"/>
      <w:r w:rsidRPr="00851945">
        <w:rPr>
          <w:rFonts w:ascii="Arial" w:eastAsia="Times New Roman" w:hAnsi="Arial" w:cs="Arial"/>
          <w:color w:val="222222"/>
          <w:sz w:val="23"/>
          <w:szCs w:val="23"/>
        </w:rPr>
        <w:t>require[</w:t>
      </w:r>
      <w:proofErr w:type="gramEnd"/>
      <w:r w:rsidRPr="00851945">
        <w:rPr>
          <w:rFonts w:ascii="Arial" w:eastAsia="Times New Roman" w:hAnsi="Arial" w:cs="Arial"/>
          <w:color w:val="222222"/>
          <w:sz w:val="23"/>
          <w:szCs w:val="23"/>
        </w:rPr>
        <w:t xml:space="preserve">d] a conclusion that [the state law] was displaced." </w:t>
      </w:r>
      <w:r w:rsidRPr="00851945">
        <w:rPr>
          <w:rFonts w:ascii="Arial" w:eastAsia="Times New Roman" w:hAnsi="Arial" w:cs="Arial"/>
          <w:i/>
          <w:iCs/>
          <w:color w:val="222222"/>
          <w:sz w:val="23"/>
          <w:szCs w:val="23"/>
        </w:rPr>
        <w:t>Id.</w:t>
      </w:r>
      <w:r w:rsidRPr="00851945">
        <w:rPr>
          <w:rFonts w:ascii="Arial" w:eastAsia="Times New Roman" w:hAnsi="Arial" w:cs="Arial"/>
          <w:color w:val="222222"/>
          <w:sz w:val="23"/>
          <w:szCs w:val="23"/>
        </w:rPr>
        <w:t xml:space="preserve"> at 146, 83 </w:t>
      </w:r>
      <w:proofErr w:type="spellStart"/>
      <w:r w:rsidRPr="00851945">
        <w:rPr>
          <w:rFonts w:ascii="Arial" w:eastAsia="Times New Roman" w:hAnsi="Arial" w:cs="Arial"/>
          <w:color w:val="222222"/>
          <w:sz w:val="23"/>
          <w:szCs w:val="23"/>
        </w:rPr>
        <w:t>S.Ct</w:t>
      </w:r>
      <w:proofErr w:type="spellEnd"/>
      <w:r w:rsidRPr="00851945">
        <w:rPr>
          <w:rFonts w:ascii="Arial" w:eastAsia="Times New Roman" w:hAnsi="Arial" w:cs="Arial"/>
          <w:color w:val="222222"/>
          <w:sz w:val="23"/>
          <w:szCs w:val="23"/>
        </w:rPr>
        <w:t>. 1210.</w:t>
      </w:r>
      <w:bookmarkStart w:id="18" w:name="r[19]"/>
      <w:r w:rsidRPr="00851945">
        <w:rPr>
          <w:rFonts w:ascii="Arial" w:eastAsia="Times New Roman" w:hAnsi="Arial" w:cs="Arial"/>
          <w:color w:val="222222"/>
          <w:sz w:val="23"/>
          <w:szCs w:val="23"/>
          <w:vertAlign w:val="superscript"/>
        </w:rPr>
        <w:fldChar w:fldCharType="begin"/>
      </w:r>
      <w:r w:rsidRPr="00851945">
        <w:rPr>
          <w:rFonts w:ascii="Arial" w:eastAsia="Times New Roman" w:hAnsi="Arial" w:cs="Arial"/>
          <w:color w:val="222222"/>
          <w:sz w:val="23"/>
          <w:szCs w:val="23"/>
          <w:vertAlign w:val="superscript"/>
        </w:rPr>
        <w:instrText xml:space="preserve"> HYPERLINK "http://scholar.google.com/scholar_case?case=12394314758738904678&amp;q=emerald+marijuana&amp;hl=en&amp;as_sdt=4,38" \l "[19]" </w:instrText>
      </w:r>
      <w:r w:rsidRPr="00851945">
        <w:rPr>
          <w:rFonts w:ascii="Arial" w:eastAsia="Times New Roman" w:hAnsi="Arial" w:cs="Arial"/>
          <w:color w:val="222222"/>
          <w:sz w:val="23"/>
          <w:szCs w:val="23"/>
          <w:vertAlign w:val="superscript"/>
        </w:rPr>
        <w:fldChar w:fldCharType="separate"/>
      </w:r>
      <w:r w:rsidRPr="00851945">
        <w:rPr>
          <w:rFonts w:ascii="Arial" w:eastAsia="Times New Roman" w:hAnsi="Arial" w:cs="Arial"/>
          <w:color w:val="1A0DAB"/>
          <w:sz w:val="23"/>
          <w:szCs w:val="23"/>
          <w:u w:val="single"/>
          <w:vertAlign w:val="superscript"/>
        </w:rPr>
        <w:t>[19]</w:t>
      </w:r>
      <w:r w:rsidRPr="00851945">
        <w:rPr>
          <w:rFonts w:ascii="Arial" w:eastAsia="Times New Roman" w:hAnsi="Arial" w:cs="Arial"/>
          <w:color w:val="222222"/>
          <w:sz w:val="23"/>
          <w:szCs w:val="23"/>
          <w:vertAlign w:val="superscript"/>
        </w:rPr>
        <w:fldChar w:fldCharType="end"/>
      </w:r>
      <w:bookmarkEnd w:id="18"/>
      <w:r w:rsidRPr="00851945">
        <w:rPr>
          <w:rFonts w:ascii="Arial" w:eastAsia="Times New Roman" w:hAnsi="Arial" w:cs="Arial"/>
          <w:color w:val="222222"/>
          <w:sz w:val="23"/>
          <w:szCs w:val="23"/>
        </w:rPr>
        <w:t xml:space="preserve"> The Court's reasoning implies that, when, as in this case, there is an irreconcilable conflict between </w:t>
      </w:r>
      <w:hyperlink r:id="rId83" w:anchor="p533" w:history="1">
        <w:r w:rsidRPr="00851945">
          <w:rPr>
            <w:rFonts w:ascii="Arial" w:eastAsia="Times New Roman" w:hAnsi="Arial" w:cs="Arial"/>
            <w:color w:val="AAAAAA"/>
            <w:sz w:val="20"/>
            <w:szCs w:val="20"/>
            <w:shd w:val="clear" w:color="auto" w:fill="FFFFFF"/>
          </w:rPr>
          <w:t>533</w:t>
        </w:r>
      </w:hyperlink>
      <w:hyperlink r:id="rId84" w:anchor="p533" w:history="1">
        <w:r w:rsidRPr="00851945">
          <w:rPr>
            <w:rFonts w:ascii="Arial" w:eastAsia="Times New Roman" w:hAnsi="Arial" w:cs="Arial"/>
            <w:color w:val="AAAAAA"/>
            <w:sz w:val="20"/>
            <w:szCs w:val="20"/>
          </w:rPr>
          <w:t>*533</w:t>
        </w:r>
      </w:hyperlink>
      <w:r w:rsidRPr="00851945">
        <w:rPr>
          <w:rFonts w:ascii="Arial" w:eastAsia="Times New Roman" w:hAnsi="Arial" w:cs="Arial"/>
          <w:color w:val="222222"/>
          <w:sz w:val="23"/>
          <w:szCs w:val="23"/>
        </w:rPr>
        <w:t xml:space="preserve"> state and federal law, that conflict "requires a conclusion that [the state law] [</w:t>
      </w:r>
      <w:proofErr w:type="spellStart"/>
      <w:r w:rsidRPr="00851945">
        <w:rPr>
          <w:rFonts w:ascii="Arial" w:eastAsia="Times New Roman" w:hAnsi="Arial" w:cs="Arial"/>
          <w:color w:val="222222"/>
          <w:sz w:val="23"/>
          <w:szCs w:val="23"/>
        </w:rPr>
        <w:t>i</w:t>
      </w:r>
      <w:proofErr w:type="spellEnd"/>
      <w:r w:rsidRPr="00851945">
        <w:rPr>
          <w:rFonts w:ascii="Arial" w:eastAsia="Times New Roman" w:hAnsi="Arial" w:cs="Arial"/>
          <w:color w:val="222222"/>
          <w:sz w:val="23"/>
          <w:szCs w:val="23"/>
        </w:rPr>
        <w:t xml:space="preserve">]s displaced." </w:t>
      </w:r>
      <w:r w:rsidRPr="00851945">
        <w:rPr>
          <w:rFonts w:ascii="Arial" w:eastAsia="Times New Roman" w:hAnsi="Arial" w:cs="Arial"/>
          <w:i/>
          <w:iCs/>
          <w:color w:val="222222"/>
          <w:sz w:val="23"/>
          <w:szCs w:val="23"/>
        </w:rPr>
        <w:t>See id.</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In both </w:t>
      </w:r>
      <w:r w:rsidRPr="00851945">
        <w:rPr>
          <w:rFonts w:ascii="Arial" w:eastAsia="Times New Roman" w:hAnsi="Arial" w:cs="Arial"/>
          <w:i/>
          <w:iCs/>
          <w:color w:val="222222"/>
          <w:sz w:val="23"/>
          <w:szCs w:val="23"/>
        </w:rPr>
        <w:t>Florida Lime &amp; Avocado</w:t>
      </w:r>
      <w:r w:rsidRPr="00851945">
        <w:rPr>
          <w:rFonts w:ascii="Arial" w:eastAsia="Times New Roman" w:hAnsi="Arial" w:cs="Arial"/>
          <w:color w:val="222222"/>
          <w:sz w:val="23"/>
          <w:szCs w:val="23"/>
        </w:rPr>
        <w:t xml:space="preserve"> and </w:t>
      </w:r>
      <w:r w:rsidRPr="00851945">
        <w:rPr>
          <w:rFonts w:ascii="Arial" w:eastAsia="Times New Roman" w:hAnsi="Arial" w:cs="Arial"/>
          <w:i/>
          <w:iCs/>
          <w:color w:val="222222"/>
          <w:sz w:val="23"/>
          <w:szCs w:val="23"/>
        </w:rPr>
        <w:t>Wyeth</w:t>
      </w:r>
      <w:r w:rsidRPr="00851945">
        <w:rPr>
          <w:rFonts w:ascii="Arial" w:eastAsia="Times New Roman" w:hAnsi="Arial" w:cs="Arial"/>
          <w:color w:val="222222"/>
          <w:sz w:val="23"/>
          <w:szCs w:val="23"/>
        </w:rPr>
        <w:t xml:space="preserve"> and the other two cases the dissent cites, the Court interpreted the applicable federal statute to permit complementary or supplementary state law.</w:t>
      </w:r>
      <w:bookmarkStart w:id="19" w:name="r[20]"/>
      <w:r w:rsidRPr="00851945">
        <w:rPr>
          <w:rFonts w:ascii="Arial" w:eastAsia="Times New Roman" w:hAnsi="Arial" w:cs="Arial"/>
          <w:color w:val="222222"/>
          <w:sz w:val="23"/>
          <w:szCs w:val="23"/>
          <w:vertAlign w:val="superscript"/>
        </w:rPr>
        <w:fldChar w:fldCharType="begin"/>
      </w:r>
      <w:r w:rsidRPr="00851945">
        <w:rPr>
          <w:rFonts w:ascii="Arial" w:eastAsia="Times New Roman" w:hAnsi="Arial" w:cs="Arial"/>
          <w:color w:val="222222"/>
          <w:sz w:val="23"/>
          <w:szCs w:val="23"/>
          <w:vertAlign w:val="superscript"/>
        </w:rPr>
        <w:instrText xml:space="preserve"> HYPERLINK "http://scholar.google.com/scholar_case?case=12394314758738904678&amp;q=emerald+marijuana&amp;hl=en&amp;as_sdt=4,38" \l "[20]" </w:instrText>
      </w:r>
      <w:r w:rsidRPr="00851945">
        <w:rPr>
          <w:rFonts w:ascii="Arial" w:eastAsia="Times New Roman" w:hAnsi="Arial" w:cs="Arial"/>
          <w:color w:val="222222"/>
          <w:sz w:val="23"/>
          <w:szCs w:val="23"/>
          <w:vertAlign w:val="superscript"/>
        </w:rPr>
        <w:fldChar w:fldCharType="separate"/>
      </w:r>
      <w:r w:rsidRPr="00851945">
        <w:rPr>
          <w:rFonts w:ascii="Arial" w:eastAsia="Times New Roman" w:hAnsi="Arial" w:cs="Arial"/>
          <w:color w:val="1A0DAB"/>
          <w:sz w:val="23"/>
          <w:szCs w:val="23"/>
          <w:u w:val="single"/>
          <w:vertAlign w:val="superscript"/>
        </w:rPr>
        <w:t>[20]</w:t>
      </w:r>
      <w:r w:rsidRPr="00851945">
        <w:rPr>
          <w:rFonts w:ascii="Arial" w:eastAsia="Times New Roman" w:hAnsi="Arial" w:cs="Arial"/>
          <w:color w:val="222222"/>
          <w:sz w:val="23"/>
          <w:szCs w:val="23"/>
          <w:vertAlign w:val="superscript"/>
        </w:rPr>
        <w:fldChar w:fldCharType="end"/>
      </w:r>
      <w:bookmarkEnd w:id="19"/>
      <w:r w:rsidRPr="00851945">
        <w:rPr>
          <w:rFonts w:ascii="Arial" w:eastAsia="Times New Roman" w:hAnsi="Arial" w:cs="Arial"/>
          <w:color w:val="222222"/>
          <w:sz w:val="23"/>
          <w:szCs w:val="23"/>
        </w:rPr>
        <w:t xml:space="preserve"> None of those cases considered state laws that authorized conduct that the federal law specifically prohibited, as is present in this case, and none of those cases stands for the proposition that such a law would not be an obstacle to the accomplishment of the full purposes of Congress. Rather, the Court's opinion in </w:t>
      </w:r>
      <w:r w:rsidRPr="00851945">
        <w:rPr>
          <w:rFonts w:ascii="Arial" w:eastAsia="Times New Roman" w:hAnsi="Arial" w:cs="Arial"/>
          <w:i/>
          <w:iCs/>
          <w:color w:val="222222"/>
          <w:sz w:val="23"/>
          <w:szCs w:val="23"/>
        </w:rPr>
        <w:t>Florida Lime &amp; Avocado</w:t>
      </w:r>
      <w:r w:rsidRPr="00851945">
        <w:rPr>
          <w:rFonts w:ascii="Arial" w:eastAsia="Times New Roman" w:hAnsi="Arial" w:cs="Arial"/>
          <w:color w:val="222222"/>
          <w:sz w:val="23"/>
          <w:szCs w:val="23"/>
        </w:rPr>
        <w:t xml:space="preserve"> points in precisely the opposite direction; it teaches that when, as in this case, the state and federal laws are in "irreconcilable conflict," federal law will displace state law. </w:t>
      </w:r>
      <w:r w:rsidRPr="00851945">
        <w:rPr>
          <w:rFonts w:ascii="Arial" w:eastAsia="Times New Roman" w:hAnsi="Arial" w:cs="Arial"/>
          <w:i/>
          <w:iCs/>
          <w:color w:val="222222"/>
          <w:sz w:val="23"/>
          <w:szCs w:val="23"/>
        </w:rPr>
        <w:t>See</w:t>
      </w:r>
      <w:r w:rsidRPr="00851945">
        <w:rPr>
          <w:rFonts w:ascii="Arial" w:eastAsia="Times New Roman" w:hAnsi="Arial" w:cs="Arial"/>
          <w:color w:val="222222"/>
          <w:sz w:val="23"/>
          <w:szCs w:val="23"/>
        </w:rPr>
        <w:t xml:space="preserve"> </w:t>
      </w:r>
      <w:hyperlink r:id="rId85" w:history="1">
        <w:r w:rsidRPr="00851945">
          <w:rPr>
            <w:rFonts w:ascii="Arial" w:eastAsia="Times New Roman" w:hAnsi="Arial" w:cs="Arial"/>
            <w:color w:val="1A0DAB"/>
            <w:sz w:val="23"/>
            <w:szCs w:val="23"/>
            <w:u w:val="single"/>
          </w:rPr>
          <w:t xml:space="preserve">373 U.S. at 146, 83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1210</w:t>
        </w:r>
      </w:hyperlink>
      <w:r w:rsidRPr="00851945">
        <w:rPr>
          <w:rFonts w:ascii="Arial" w:eastAsia="Times New Roman" w:hAnsi="Arial" w:cs="Arial"/>
          <w:color w:val="222222"/>
          <w:sz w:val="23"/>
          <w:szCs w:val="23"/>
        </w:rPr>
        <w:t>.</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As noted, the dissent also advances what appears to be an alternative ground for its position. The dissent reasons that ORS 475.306(1) does not affirmatively authorize the use of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it views that subsection instead as part of a larger exemption of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use from state criminal laws. The dissent's reasoning is difficult to </w:t>
      </w:r>
      <w:r w:rsidRPr="00851945">
        <w:rPr>
          <w:rFonts w:ascii="Arial" w:eastAsia="Times New Roman" w:hAnsi="Arial" w:cs="Arial"/>
          <w:color w:val="222222"/>
          <w:sz w:val="23"/>
          <w:szCs w:val="23"/>
        </w:rPr>
        <w:lastRenderedPageBreak/>
        <w:t xml:space="preserve">square with the text of ORS 475.306(1). That subsection provides that a person holding a registry identification card "may engage" in the limited use of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Those are words of authorization, not exemption. Beyond that, if ORS 475.306(1) were merely part of a larger exemption, then no provision of state law would authorize the use of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If that were true,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use would not come within one of the exclusions from the "illegal use of drugs," as that phrase is defined in ORS 659A.122, and the protections of ORS 659A.112 would not apply to employee. </w:t>
      </w:r>
      <w:r w:rsidRPr="00851945">
        <w:rPr>
          <w:rFonts w:ascii="Arial" w:eastAsia="Times New Roman" w:hAnsi="Arial" w:cs="Arial"/>
          <w:i/>
          <w:iCs/>
          <w:color w:val="222222"/>
          <w:sz w:val="23"/>
          <w:szCs w:val="23"/>
        </w:rPr>
        <w:t>See</w:t>
      </w:r>
      <w:r w:rsidRPr="00851945">
        <w:rPr>
          <w:rFonts w:ascii="Arial" w:eastAsia="Times New Roman" w:hAnsi="Arial" w:cs="Arial"/>
          <w:color w:val="222222"/>
          <w:sz w:val="23"/>
          <w:szCs w:val="23"/>
        </w:rPr>
        <w:t xml:space="preserve"> ORS 659A.124 (so providing).</w:t>
      </w:r>
      <w:bookmarkStart w:id="20" w:name="r[21]"/>
      <w:r w:rsidRPr="00851945">
        <w:rPr>
          <w:rFonts w:ascii="Arial" w:eastAsia="Times New Roman" w:hAnsi="Arial" w:cs="Arial"/>
          <w:color w:val="222222"/>
          <w:sz w:val="23"/>
          <w:szCs w:val="23"/>
          <w:vertAlign w:val="superscript"/>
        </w:rPr>
        <w:fldChar w:fldCharType="begin"/>
      </w:r>
      <w:r w:rsidRPr="00851945">
        <w:rPr>
          <w:rFonts w:ascii="Arial" w:eastAsia="Times New Roman" w:hAnsi="Arial" w:cs="Arial"/>
          <w:color w:val="222222"/>
          <w:sz w:val="23"/>
          <w:szCs w:val="23"/>
          <w:vertAlign w:val="superscript"/>
        </w:rPr>
        <w:instrText xml:space="preserve"> HYPERLINK "http://scholar.google.com/scholar_case?case=12394314758738904678&amp;q=emerald+marijuana&amp;hl=en&amp;as_sdt=4,38" \l "[21]" </w:instrText>
      </w:r>
      <w:r w:rsidRPr="00851945">
        <w:rPr>
          <w:rFonts w:ascii="Arial" w:eastAsia="Times New Roman" w:hAnsi="Arial" w:cs="Arial"/>
          <w:color w:val="222222"/>
          <w:sz w:val="23"/>
          <w:szCs w:val="23"/>
          <w:vertAlign w:val="superscript"/>
        </w:rPr>
        <w:fldChar w:fldCharType="separate"/>
      </w:r>
      <w:r w:rsidRPr="00851945">
        <w:rPr>
          <w:rFonts w:ascii="Arial" w:eastAsia="Times New Roman" w:hAnsi="Arial" w:cs="Arial"/>
          <w:color w:val="1A0DAB"/>
          <w:sz w:val="23"/>
          <w:szCs w:val="23"/>
          <w:u w:val="single"/>
          <w:vertAlign w:val="superscript"/>
        </w:rPr>
        <w:t>[21]</w:t>
      </w:r>
      <w:r w:rsidRPr="00851945">
        <w:rPr>
          <w:rFonts w:ascii="Arial" w:eastAsia="Times New Roman" w:hAnsi="Arial" w:cs="Arial"/>
          <w:color w:val="222222"/>
          <w:sz w:val="23"/>
          <w:szCs w:val="23"/>
          <w:vertAlign w:val="superscript"/>
        </w:rPr>
        <w:fldChar w:fldCharType="end"/>
      </w:r>
      <w:bookmarkEnd w:id="20"/>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Another thread runs through the dissent. It reasons that, as a practical matter, authorizing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use is no different from exempting that use from criminal liability. It concludes that, if exempting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use from criminal liability is not an obstacle to the accomplishment of the purposes of the Controlled Substances Act and is thus not preempted, then neither is a state law authorizing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use. The difficulty with the dissent's reasoning is its premise. It presumes that a law exempting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use from liability is valid because it is not preempted. As the Attorney General's opinion explained, however, Congress lacks the authority to compel a state to criminalize conduct, no matter how explicitly it directs a state to do so. When, however, a state affirmatively authorizes conduct, Congress has the authority to preempt that law and did so here. The dissent's reasoning fails to distinguish those two analytically separate constitutional principles.</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In sum, whatever the wisdom of Congress's policy choice to categorize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as a Schedule I drug, the Supremacy Clause requires that we respect that choice when, as in this case, state law stands as an obstacle to the accomplishment of the full purposes of the federal law. Doing so means that ORS </w:t>
      </w:r>
      <w:hyperlink r:id="rId86" w:anchor="p534" w:history="1">
        <w:r w:rsidRPr="00851945">
          <w:rPr>
            <w:rFonts w:ascii="Arial" w:eastAsia="Times New Roman" w:hAnsi="Arial" w:cs="Arial"/>
            <w:color w:val="AAAAAA"/>
            <w:sz w:val="20"/>
            <w:szCs w:val="20"/>
            <w:shd w:val="clear" w:color="auto" w:fill="FFFFFF"/>
          </w:rPr>
          <w:t>534</w:t>
        </w:r>
      </w:hyperlink>
      <w:hyperlink r:id="rId87" w:anchor="p534" w:history="1">
        <w:r w:rsidRPr="00851945">
          <w:rPr>
            <w:rFonts w:ascii="Arial" w:eastAsia="Times New Roman" w:hAnsi="Arial" w:cs="Arial"/>
            <w:color w:val="AAAAAA"/>
            <w:sz w:val="20"/>
            <w:szCs w:val="20"/>
          </w:rPr>
          <w:t>*534</w:t>
        </w:r>
      </w:hyperlink>
      <w:r w:rsidRPr="00851945">
        <w:rPr>
          <w:rFonts w:ascii="Arial" w:eastAsia="Times New Roman" w:hAnsi="Arial" w:cs="Arial"/>
          <w:color w:val="222222"/>
          <w:sz w:val="23"/>
          <w:szCs w:val="23"/>
        </w:rPr>
        <w:t xml:space="preserve"> 475.306(1) is not enforceable. Without an enforceable state law authorizing employee's use of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that basis for excluding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use from the phrase "illegal use of drugs" in ORS 659A.122(2) is not available.</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As noted, a second possible exclusion from the definition of "illegal use of drugs" exists, which we also address. The definition of "illegal use of drugs" also excludes from that phrase "the use of a drug taken under supervision of a licensed health care professional."</w:t>
      </w:r>
      <w:bookmarkStart w:id="21" w:name="r[22]"/>
      <w:r w:rsidRPr="00851945">
        <w:rPr>
          <w:rFonts w:ascii="Arial" w:eastAsia="Times New Roman" w:hAnsi="Arial" w:cs="Arial"/>
          <w:color w:val="222222"/>
          <w:sz w:val="23"/>
          <w:szCs w:val="23"/>
          <w:vertAlign w:val="superscript"/>
        </w:rPr>
        <w:fldChar w:fldCharType="begin"/>
      </w:r>
      <w:r w:rsidRPr="00851945">
        <w:rPr>
          <w:rFonts w:ascii="Arial" w:eastAsia="Times New Roman" w:hAnsi="Arial" w:cs="Arial"/>
          <w:color w:val="222222"/>
          <w:sz w:val="23"/>
          <w:szCs w:val="23"/>
          <w:vertAlign w:val="superscript"/>
        </w:rPr>
        <w:instrText xml:space="preserve"> HYPERLINK "http://scholar.google.com/scholar_case?case=12394314758738904678&amp;q=emerald+marijuana&amp;hl=en&amp;as_sdt=4,38" \l "[22]" </w:instrText>
      </w:r>
      <w:r w:rsidRPr="00851945">
        <w:rPr>
          <w:rFonts w:ascii="Arial" w:eastAsia="Times New Roman" w:hAnsi="Arial" w:cs="Arial"/>
          <w:color w:val="222222"/>
          <w:sz w:val="23"/>
          <w:szCs w:val="23"/>
          <w:vertAlign w:val="superscript"/>
        </w:rPr>
        <w:fldChar w:fldCharType="separate"/>
      </w:r>
      <w:r w:rsidRPr="00851945">
        <w:rPr>
          <w:rFonts w:ascii="Arial" w:eastAsia="Times New Roman" w:hAnsi="Arial" w:cs="Arial"/>
          <w:color w:val="1A0DAB"/>
          <w:sz w:val="23"/>
          <w:szCs w:val="23"/>
          <w:u w:val="single"/>
          <w:vertAlign w:val="superscript"/>
        </w:rPr>
        <w:t>[22]</w:t>
      </w:r>
      <w:r w:rsidRPr="00851945">
        <w:rPr>
          <w:rFonts w:ascii="Arial" w:eastAsia="Times New Roman" w:hAnsi="Arial" w:cs="Arial"/>
          <w:color w:val="222222"/>
          <w:sz w:val="23"/>
          <w:szCs w:val="23"/>
          <w:vertAlign w:val="superscript"/>
        </w:rPr>
        <w:fldChar w:fldCharType="end"/>
      </w:r>
      <w:bookmarkEnd w:id="21"/>
      <w:r w:rsidRPr="00851945">
        <w:rPr>
          <w:rFonts w:ascii="Arial" w:eastAsia="Times New Roman" w:hAnsi="Arial" w:cs="Arial"/>
          <w:color w:val="222222"/>
          <w:sz w:val="23"/>
          <w:szCs w:val="23"/>
        </w:rPr>
        <w:t xml:space="preserve"> ORS </w:t>
      </w:r>
      <w:proofErr w:type="gramStart"/>
      <w:r w:rsidRPr="00851945">
        <w:rPr>
          <w:rFonts w:ascii="Arial" w:eastAsia="Times New Roman" w:hAnsi="Arial" w:cs="Arial"/>
          <w:color w:val="222222"/>
          <w:sz w:val="23"/>
          <w:szCs w:val="23"/>
        </w:rPr>
        <w:t>659A.122(</w:t>
      </w:r>
      <w:proofErr w:type="gramEnd"/>
      <w:r w:rsidRPr="00851945">
        <w:rPr>
          <w:rFonts w:ascii="Arial" w:eastAsia="Times New Roman" w:hAnsi="Arial" w:cs="Arial"/>
          <w:color w:val="222222"/>
          <w:sz w:val="23"/>
          <w:szCs w:val="23"/>
        </w:rPr>
        <w:t xml:space="preserve">2). On that issue, as noted above, employee's physician signed a statement that employee had been diagnosed with a debilitating condition, that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may mitigate the symptoms or effects of that condition, but that the physician's statement was not a prescription to use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That statement was sufficient under the Oregon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Act to permit employee to obtain a registry identification card, which then permitted him to use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to treat his condition. Employee's physician recommended that employee use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five to seven times daily by inhalation. However, without a prescription, employee's physician had no ability to control either the amount of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that employee used or the frequency with which he used it, if employee chose to disregard his physician's recommendation.</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The question thus posed is whether employee used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"under supervision of a licensed health care professional." The answer to that question turns initially on what a person must show to come within that exclusion. As explained below, we conclude that two criteria must be met to come within the exclusion. As an initial matter, the phrase "taken </w:t>
      </w:r>
      <w:r w:rsidRPr="00851945">
        <w:rPr>
          <w:rFonts w:ascii="Arial" w:eastAsia="Times New Roman" w:hAnsi="Arial" w:cs="Arial"/>
          <w:color w:val="222222"/>
          <w:sz w:val="23"/>
          <w:szCs w:val="23"/>
        </w:rPr>
        <w:lastRenderedPageBreak/>
        <w:t xml:space="preserve">under supervision" of a licensed health care professional implies that the health care professional is monitoring or overseeing the patient's use of what would otherwise be an illegal drug. </w:t>
      </w:r>
      <w:r w:rsidRPr="00851945">
        <w:rPr>
          <w:rFonts w:ascii="Arial" w:eastAsia="Times New Roman" w:hAnsi="Arial" w:cs="Arial"/>
          <w:i/>
          <w:iCs/>
          <w:color w:val="222222"/>
          <w:sz w:val="23"/>
          <w:szCs w:val="23"/>
        </w:rPr>
        <w:t>See Webster's Third New Int'l Dictionary</w:t>
      </w:r>
      <w:r w:rsidRPr="00851945">
        <w:rPr>
          <w:rFonts w:ascii="Arial" w:eastAsia="Times New Roman" w:hAnsi="Arial" w:cs="Arial"/>
          <w:color w:val="222222"/>
          <w:sz w:val="23"/>
          <w:szCs w:val="23"/>
        </w:rPr>
        <w:t xml:space="preserve"> 2296 (unabridged ed. 2002) (defining supervise as "coordinate, direct, and inspect continuously and at first hand the accomplishment of" a task); </w:t>
      </w:r>
      <w:r w:rsidRPr="00851945">
        <w:rPr>
          <w:rFonts w:ascii="Arial" w:eastAsia="Times New Roman" w:hAnsi="Arial" w:cs="Arial"/>
          <w:i/>
          <w:iCs/>
          <w:color w:val="222222"/>
          <w:sz w:val="23"/>
          <w:szCs w:val="23"/>
        </w:rPr>
        <w:t xml:space="preserve">cf. </w:t>
      </w:r>
      <w:hyperlink r:id="rId88" w:history="1">
        <w:r w:rsidRPr="00851945">
          <w:rPr>
            <w:rFonts w:ascii="Arial" w:eastAsia="Times New Roman" w:hAnsi="Arial" w:cs="Arial"/>
            <w:i/>
            <w:iCs/>
            <w:color w:val="1A0DAB"/>
            <w:sz w:val="23"/>
            <w:szCs w:val="23"/>
            <w:u w:val="single"/>
          </w:rPr>
          <w:t>Moore,</w:t>
        </w:r>
        <w:r w:rsidRPr="00851945">
          <w:rPr>
            <w:rFonts w:ascii="Arial" w:eastAsia="Times New Roman" w:hAnsi="Arial" w:cs="Arial"/>
            <w:color w:val="1A0DAB"/>
            <w:sz w:val="23"/>
            <w:szCs w:val="23"/>
            <w:u w:val="single"/>
          </w:rPr>
          <w:t xml:space="preserve"> 423 U.S. at 143, 96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335</w:t>
        </w:r>
      </w:hyperlink>
      <w:r w:rsidRPr="00851945">
        <w:rPr>
          <w:rFonts w:ascii="Arial" w:eastAsia="Times New Roman" w:hAnsi="Arial" w:cs="Arial"/>
          <w:color w:val="222222"/>
          <w:sz w:val="23"/>
          <w:szCs w:val="23"/>
        </w:rPr>
        <w:t xml:space="preserve"> (holding that a physician who prescribed methadone, a Schedule II controlled substance, without regulating his patients' dosage and with no precautions against his patients' misuse of methadone violated section 841 of the Controlled Substances Act).</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Beyond supervision, when a health care professional administers a controlled substance, the exclusion requires that the Controlled Substances Act authorize him or her to do so. That follows from the text and context of the definition of illegal use of drugs set out in ORS </w:t>
      </w:r>
      <w:proofErr w:type="gramStart"/>
      <w:r w:rsidRPr="00851945">
        <w:rPr>
          <w:rFonts w:ascii="Arial" w:eastAsia="Times New Roman" w:hAnsi="Arial" w:cs="Arial"/>
          <w:color w:val="222222"/>
          <w:sz w:val="23"/>
          <w:szCs w:val="23"/>
        </w:rPr>
        <w:t>659A.122(</w:t>
      </w:r>
      <w:proofErr w:type="gramEnd"/>
      <w:r w:rsidRPr="00851945">
        <w:rPr>
          <w:rFonts w:ascii="Arial" w:eastAsia="Times New Roman" w:hAnsi="Arial" w:cs="Arial"/>
          <w:color w:val="222222"/>
          <w:sz w:val="23"/>
          <w:szCs w:val="23"/>
        </w:rPr>
        <w:t xml:space="preserve">2). After providing that the illegal use of drugs does not include "the use of a drug taken under supervision of a licensed health care professional," the legislature added "or other uses authorized under the Controlled Substances Act." The phrase "or other uses authorized by the Controlled Substances Act" is telling. The words "other uses" imply that the preceding use (the use of drugs taken under supervision of a licensed health care professional) also refers to a use authorized by the Controlled Substances Act. </w:t>
      </w:r>
      <w:r w:rsidRPr="00851945">
        <w:rPr>
          <w:rFonts w:ascii="Arial" w:eastAsia="Times New Roman" w:hAnsi="Arial" w:cs="Arial"/>
          <w:i/>
          <w:iCs/>
          <w:color w:val="222222"/>
          <w:sz w:val="23"/>
          <w:szCs w:val="23"/>
        </w:rPr>
        <w:t>See Webster's</w:t>
      </w:r>
      <w:r w:rsidRPr="00851945">
        <w:rPr>
          <w:rFonts w:ascii="Arial" w:eastAsia="Times New Roman" w:hAnsi="Arial" w:cs="Arial"/>
          <w:color w:val="222222"/>
          <w:sz w:val="23"/>
          <w:szCs w:val="23"/>
        </w:rPr>
        <w:t xml:space="preserve"> at 1598 (defining "other" as "being the one (as of two or more) left").</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Not only does the text of ORS 659A.122(2) imply that the use of controlled substances taken under supervision of a licensed health care professional refers to uses that the Controlled Substances Act authorizes, but the context leads to the same conclusion. </w:t>
      </w:r>
      <w:r w:rsidRPr="00851945">
        <w:rPr>
          <w:rFonts w:ascii="Arial" w:eastAsia="Times New Roman" w:hAnsi="Arial" w:cs="Arial"/>
          <w:i/>
          <w:iCs/>
          <w:color w:val="222222"/>
          <w:sz w:val="23"/>
          <w:szCs w:val="23"/>
        </w:rPr>
        <w:t xml:space="preserve">See </w:t>
      </w:r>
      <w:hyperlink r:id="rId89" w:history="1">
        <w:r w:rsidRPr="00851945">
          <w:rPr>
            <w:rFonts w:ascii="Arial" w:eastAsia="Times New Roman" w:hAnsi="Arial" w:cs="Arial"/>
            <w:i/>
            <w:iCs/>
            <w:color w:val="1A0DAB"/>
            <w:sz w:val="23"/>
            <w:szCs w:val="23"/>
            <w:u w:val="single"/>
          </w:rPr>
          <w:t xml:space="preserve">Stevens v. </w:t>
        </w:r>
        <w:proofErr w:type="spellStart"/>
        <w:r w:rsidRPr="00851945">
          <w:rPr>
            <w:rFonts w:ascii="Arial" w:eastAsia="Times New Roman" w:hAnsi="Arial" w:cs="Arial"/>
            <w:i/>
            <w:iCs/>
            <w:color w:val="1A0DAB"/>
            <w:sz w:val="23"/>
            <w:szCs w:val="23"/>
            <w:u w:val="single"/>
          </w:rPr>
          <w:t>Czerniak</w:t>
        </w:r>
        <w:proofErr w:type="spellEnd"/>
        <w:r w:rsidRPr="00851945">
          <w:rPr>
            <w:rFonts w:ascii="Arial" w:eastAsia="Times New Roman" w:hAnsi="Arial" w:cs="Arial"/>
            <w:i/>
            <w:iCs/>
            <w:color w:val="1A0DAB"/>
            <w:sz w:val="23"/>
            <w:szCs w:val="23"/>
            <w:u w:val="single"/>
          </w:rPr>
          <w:t>,</w:t>
        </w:r>
        <w:r w:rsidRPr="00851945">
          <w:rPr>
            <w:rFonts w:ascii="Arial" w:eastAsia="Times New Roman" w:hAnsi="Arial" w:cs="Arial"/>
            <w:color w:val="1A0DAB"/>
            <w:sz w:val="23"/>
            <w:szCs w:val="23"/>
            <w:u w:val="single"/>
          </w:rPr>
          <w:t xml:space="preserve"> 336 Or. 392, 401, 84 P.3d 140 (2004)</w:t>
        </w:r>
      </w:hyperlink>
      <w:r w:rsidRPr="00851945">
        <w:rPr>
          <w:rFonts w:ascii="Arial" w:eastAsia="Times New Roman" w:hAnsi="Arial" w:cs="Arial"/>
          <w:color w:val="222222"/>
          <w:sz w:val="23"/>
          <w:szCs w:val="23"/>
        </w:rPr>
        <w:t xml:space="preserve"> (explaining that context includes "`the preexisting common law and the statutory framework within which the law was enacted'") (quoting </w:t>
      </w:r>
      <w:r w:rsidRPr="00851945">
        <w:rPr>
          <w:rFonts w:ascii="Arial" w:eastAsia="Times New Roman" w:hAnsi="Arial" w:cs="Arial"/>
          <w:i/>
          <w:iCs/>
          <w:color w:val="222222"/>
          <w:sz w:val="23"/>
          <w:szCs w:val="23"/>
        </w:rPr>
        <w:t>Denton and Denton,</w:t>
      </w:r>
      <w:r w:rsidRPr="00851945">
        <w:rPr>
          <w:rFonts w:ascii="Arial" w:eastAsia="Times New Roman" w:hAnsi="Arial" w:cs="Arial"/>
          <w:color w:val="222222"/>
          <w:sz w:val="23"/>
          <w:szCs w:val="23"/>
        </w:rPr>
        <w:t xml:space="preserve"> 326 Or. 236, 241, 951 P.2d 693 (1998)). As noted, the Controlled Substances Act both authorizes physicians and other health care professionals to administer </w:t>
      </w:r>
      <w:hyperlink r:id="rId90" w:anchor="p535" w:history="1">
        <w:r w:rsidRPr="00851945">
          <w:rPr>
            <w:rFonts w:ascii="Arial" w:eastAsia="Times New Roman" w:hAnsi="Arial" w:cs="Arial"/>
            <w:color w:val="AAAAAA"/>
            <w:sz w:val="20"/>
            <w:szCs w:val="20"/>
            <w:shd w:val="clear" w:color="auto" w:fill="FFFFFF"/>
          </w:rPr>
          <w:t>535</w:t>
        </w:r>
      </w:hyperlink>
      <w:hyperlink r:id="rId91" w:anchor="p535" w:history="1">
        <w:r w:rsidRPr="00851945">
          <w:rPr>
            <w:rFonts w:ascii="Arial" w:eastAsia="Times New Roman" w:hAnsi="Arial" w:cs="Arial"/>
            <w:color w:val="AAAAAA"/>
            <w:sz w:val="20"/>
            <w:szCs w:val="20"/>
          </w:rPr>
          <w:t>*535</w:t>
        </w:r>
      </w:hyperlink>
      <w:r w:rsidRPr="00851945">
        <w:rPr>
          <w:rFonts w:ascii="Arial" w:eastAsia="Times New Roman" w:hAnsi="Arial" w:cs="Arial"/>
          <w:color w:val="222222"/>
          <w:sz w:val="23"/>
          <w:szCs w:val="23"/>
        </w:rPr>
        <w:t xml:space="preserve"> controlled substances for medical and research purposes and defines the scope of their authority to do so. </w:t>
      </w:r>
      <w:r w:rsidRPr="00851945">
        <w:rPr>
          <w:rFonts w:ascii="Arial" w:eastAsia="Times New Roman" w:hAnsi="Arial" w:cs="Arial"/>
          <w:i/>
          <w:iCs/>
          <w:color w:val="222222"/>
          <w:sz w:val="23"/>
          <w:szCs w:val="23"/>
        </w:rPr>
        <w:t xml:space="preserve">See </w:t>
      </w:r>
      <w:hyperlink r:id="rId92" w:history="1">
        <w:r w:rsidRPr="00851945">
          <w:rPr>
            <w:rFonts w:ascii="Arial" w:eastAsia="Times New Roman" w:hAnsi="Arial" w:cs="Arial"/>
            <w:i/>
            <w:iCs/>
            <w:color w:val="1A0DAB"/>
            <w:sz w:val="23"/>
            <w:szCs w:val="23"/>
            <w:u w:val="single"/>
          </w:rPr>
          <w:t>Moore,</w:t>
        </w:r>
        <w:r w:rsidRPr="00851945">
          <w:rPr>
            <w:rFonts w:ascii="Arial" w:eastAsia="Times New Roman" w:hAnsi="Arial" w:cs="Arial"/>
            <w:color w:val="1A0DAB"/>
            <w:sz w:val="23"/>
            <w:szCs w:val="23"/>
            <w:u w:val="single"/>
          </w:rPr>
          <w:t xml:space="preserve"> 423 U.S. at 138-40, </w:t>
        </w:r>
        <w:proofErr w:type="gramStart"/>
        <w:r w:rsidRPr="00851945">
          <w:rPr>
            <w:rFonts w:ascii="Arial" w:eastAsia="Times New Roman" w:hAnsi="Arial" w:cs="Arial"/>
            <w:color w:val="1A0DAB"/>
            <w:sz w:val="23"/>
            <w:szCs w:val="23"/>
            <w:u w:val="single"/>
          </w:rPr>
          <w:t>96</w:t>
        </w:r>
        <w:proofErr w:type="gramEnd"/>
        <w:r w:rsidRPr="00851945">
          <w:rPr>
            <w:rFonts w:ascii="Arial" w:eastAsia="Times New Roman" w:hAnsi="Arial" w:cs="Arial"/>
            <w:color w:val="1A0DAB"/>
            <w:sz w:val="23"/>
            <w:szCs w:val="23"/>
            <w:u w:val="single"/>
          </w:rPr>
          <w:t xml:space="preserve">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335</w:t>
        </w:r>
      </w:hyperlink>
      <w:r w:rsidRPr="00851945">
        <w:rPr>
          <w:rFonts w:ascii="Arial" w:eastAsia="Times New Roman" w:hAnsi="Arial" w:cs="Arial"/>
          <w:color w:val="222222"/>
          <w:sz w:val="23"/>
          <w:szCs w:val="23"/>
        </w:rPr>
        <w:t xml:space="preserve"> (so holding). We infer that, in excluding "the use of a drug taken under supervision of licensed health care professionals" from the phrase "illegal use of drugs," the legislature intended to refer to those medical and research uses that, under the Controlled Substances Act, physicians and other health care professionals lawfully can put controlled substances.</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Another contextual clue points in the same direction. The exclusion in ORS 659A.122(2) for the use of a drug taken under supervision of a licensed health care professional is virtually identical to an exclusion in the definition of illegal use of drugs found in the ADA. </w:t>
      </w:r>
      <w:r w:rsidRPr="00851945">
        <w:rPr>
          <w:rFonts w:ascii="Arial" w:eastAsia="Times New Roman" w:hAnsi="Arial" w:cs="Arial"/>
          <w:i/>
          <w:iCs/>
          <w:color w:val="222222"/>
          <w:sz w:val="23"/>
          <w:szCs w:val="23"/>
        </w:rPr>
        <w:t>See</w:t>
      </w:r>
      <w:r w:rsidRPr="00851945">
        <w:rPr>
          <w:rFonts w:ascii="Arial" w:eastAsia="Times New Roman" w:hAnsi="Arial" w:cs="Arial"/>
          <w:color w:val="222222"/>
          <w:sz w:val="23"/>
          <w:szCs w:val="23"/>
        </w:rPr>
        <w:t xml:space="preserve"> 42 U.S.C. § 12111(6)(A) (excluding "the use of a drug taken under supervision by a licensed health care professional, or other uses authorized by the Controlled Substances Act"). The federal exclusion contemplates medical and research uses that the Controlled Substances Act authorizes, and there is no reason to think that, in adopting the same exclusion, the Oregon legislature had any different intent in mind. </w:t>
      </w:r>
      <w:r w:rsidRPr="00851945">
        <w:rPr>
          <w:rFonts w:ascii="Arial" w:eastAsia="Times New Roman" w:hAnsi="Arial" w:cs="Arial"/>
          <w:i/>
          <w:iCs/>
          <w:color w:val="222222"/>
          <w:sz w:val="23"/>
          <w:szCs w:val="23"/>
        </w:rPr>
        <w:t xml:space="preserve">Cf. </w:t>
      </w:r>
      <w:hyperlink r:id="rId93" w:history="1">
        <w:r w:rsidRPr="00851945">
          <w:rPr>
            <w:rFonts w:ascii="Arial" w:eastAsia="Times New Roman" w:hAnsi="Arial" w:cs="Arial"/>
            <w:i/>
            <w:iCs/>
            <w:color w:val="1A0DAB"/>
            <w:sz w:val="23"/>
            <w:szCs w:val="23"/>
            <w:u w:val="single"/>
          </w:rPr>
          <w:t>Stevens,</w:t>
        </w:r>
        <w:r w:rsidRPr="00851945">
          <w:rPr>
            <w:rFonts w:ascii="Arial" w:eastAsia="Times New Roman" w:hAnsi="Arial" w:cs="Arial"/>
            <w:color w:val="1A0DAB"/>
            <w:sz w:val="23"/>
            <w:szCs w:val="23"/>
            <w:u w:val="single"/>
          </w:rPr>
          <w:t xml:space="preserve"> 336 Or. </w:t>
        </w:r>
        <w:proofErr w:type="gramStart"/>
        <w:r w:rsidRPr="00851945">
          <w:rPr>
            <w:rFonts w:ascii="Arial" w:eastAsia="Times New Roman" w:hAnsi="Arial" w:cs="Arial"/>
            <w:color w:val="1A0DAB"/>
            <w:sz w:val="23"/>
            <w:szCs w:val="23"/>
            <w:u w:val="single"/>
          </w:rPr>
          <w:t>at</w:t>
        </w:r>
        <w:proofErr w:type="gramEnd"/>
        <w:r w:rsidRPr="00851945">
          <w:rPr>
            <w:rFonts w:ascii="Arial" w:eastAsia="Times New Roman" w:hAnsi="Arial" w:cs="Arial"/>
            <w:color w:val="1A0DAB"/>
            <w:sz w:val="23"/>
            <w:szCs w:val="23"/>
            <w:u w:val="single"/>
          </w:rPr>
          <w:t xml:space="preserve"> 402-03, 84 P.3d 140</w:t>
        </w:r>
      </w:hyperlink>
      <w:r w:rsidRPr="00851945">
        <w:rPr>
          <w:rFonts w:ascii="Arial" w:eastAsia="Times New Roman" w:hAnsi="Arial" w:cs="Arial"/>
          <w:color w:val="222222"/>
          <w:sz w:val="23"/>
          <w:szCs w:val="23"/>
        </w:rPr>
        <w:t xml:space="preserve"> (looking to the federal counterpart to ORCP 36 to determine Oregon legislature's intent). Given the text and context of ORS 659A.122(2), we conclude that, when a health care professional administers a controlled substance, the exclusion for the "use of a drug taken under supervision of a licensed health care professional" refers to those medical and research uses that the Controlled Substances Act authorizes.</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lastRenderedPageBreak/>
        <w:t>In sum, two criteria are necessary to come within the exclusion for the use of a controlled substance taken under supervision of a licensed health care professional: (1) the Controlled Substances Act must authorize a licensed health care professional to prescribe or administer the controlled substance and (2) the health care professional must monitor or supervise the patient's use of the controlled substance. In this case, we need not decide whether the evidence was sufficient to prove the second criterion—</w:t>
      </w:r>
      <w:r w:rsidRPr="00851945">
        <w:rPr>
          <w:rFonts w:ascii="Arial" w:eastAsia="Times New Roman" w:hAnsi="Arial" w:cs="Arial"/>
          <w:i/>
          <w:iCs/>
          <w:color w:val="222222"/>
          <w:sz w:val="23"/>
          <w:szCs w:val="23"/>
        </w:rPr>
        <w:t>i.e.,</w:t>
      </w:r>
      <w:r w:rsidRPr="00851945">
        <w:rPr>
          <w:rFonts w:ascii="Arial" w:eastAsia="Times New Roman" w:hAnsi="Arial" w:cs="Arial"/>
          <w:color w:val="222222"/>
          <w:sz w:val="23"/>
          <w:szCs w:val="23"/>
        </w:rPr>
        <w:t xml:space="preserve"> whether employee's physician monitored or oversaw employee's use of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Even if it were, the Controlled Substances Act did not authorize employee's physician to administer (or authorize employee to use)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for medical purposes. As noted, under the Controlled Substances Act, physicians may not prescribe Schedule I controlled substances for medical purposes. At most, a physician may administer those substances only as part of a Food and Drug Administration preapproved research project.</w:t>
      </w:r>
      <w:bookmarkStart w:id="22" w:name="r[23]"/>
      <w:r w:rsidRPr="00851945">
        <w:rPr>
          <w:rFonts w:ascii="Arial" w:eastAsia="Times New Roman" w:hAnsi="Arial" w:cs="Arial"/>
          <w:color w:val="222222"/>
          <w:sz w:val="23"/>
          <w:szCs w:val="23"/>
          <w:vertAlign w:val="superscript"/>
        </w:rPr>
        <w:fldChar w:fldCharType="begin"/>
      </w:r>
      <w:r w:rsidRPr="00851945">
        <w:rPr>
          <w:rFonts w:ascii="Arial" w:eastAsia="Times New Roman" w:hAnsi="Arial" w:cs="Arial"/>
          <w:color w:val="222222"/>
          <w:sz w:val="23"/>
          <w:szCs w:val="23"/>
          <w:vertAlign w:val="superscript"/>
        </w:rPr>
        <w:instrText xml:space="preserve"> HYPERLINK "http://scholar.google.com/scholar_case?case=12394314758738904678&amp;q=emerald+marijuana&amp;hl=en&amp;as_sdt=4,38" \l "[23]" </w:instrText>
      </w:r>
      <w:r w:rsidRPr="00851945">
        <w:rPr>
          <w:rFonts w:ascii="Arial" w:eastAsia="Times New Roman" w:hAnsi="Arial" w:cs="Arial"/>
          <w:color w:val="222222"/>
          <w:sz w:val="23"/>
          <w:szCs w:val="23"/>
          <w:vertAlign w:val="superscript"/>
        </w:rPr>
        <w:fldChar w:fldCharType="separate"/>
      </w:r>
      <w:r w:rsidRPr="00851945">
        <w:rPr>
          <w:rFonts w:ascii="Arial" w:eastAsia="Times New Roman" w:hAnsi="Arial" w:cs="Arial"/>
          <w:color w:val="1A0DAB"/>
          <w:sz w:val="23"/>
          <w:szCs w:val="23"/>
          <w:u w:val="single"/>
          <w:vertAlign w:val="superscript"/>
        </w:rPr>
        <w:t>[23]</w:t>
      </w:r>
      <w:r w:rsidRPr="00851945">
        <w:rPr>
          <w:rFonts w:ascii="Arial" w:eastAsia="Times New Roman" w:hAnsi="Arial" w:cs="Arial"/>
          <w:color w:val="222222"/>
          <w:sz w:val="23"/>
          <w:szCs w:val="23"/>
          <w:vertAlign w:val="superscript"/>
        </w:rPr>
        <w:fldChar w:fldCharType="end"/>
      </w:r>
      <w:bookmarkEnd w:id="22"/>
      <w:r w:rsidRPr="00851945">
        <w:rPr>
          <w:rFonts w:ascii="Arial" w:eastAsia="Times New Roman" w:hAnsi="Arial" w:cs="Arial"/>
          <w:color w:val="222222"/>
          <w:sz w:val="23"/>
          <w:szCs w:val="23"/>
        </w:rPr>
        <w:t xml:space="preserve"> Because there is no claim in this case that employee and his physician were participating in such a project, employee's use of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was not taken under supervision of a licensed health care professional, as that phrase is used in ORS 659A.122(2).</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Because employee did not take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under supervision of a licensed health care professional and because the authorization to use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found in ORS 475.306(1) is unenforceable, it follows that employee was currently engaged in the illegal use of drugs and, as the commissioner found, employer discharged employee for that reason. Under the terms of ORS 659A.124, "the protections of ORS 659A.112 do not apply" to employee. The commissioner's final order on reconsideration rests, however, on the premise that the protections of ORS 659A.112— specifically, the requirement for employer to engage in a "meaningful interactive process" as an aspect of reasonable accommodation— do apply to employee. Under ORS 659A.124, that premise is mistaken, and the commissioner's revised order on reconsideration cannot stand. Both the commissioner's order and the Court of Appeals decision affirming </w:t>
      </w:r>
      <w:hyperlink r:id="rId94" w:anchor="p536" w:history="1">
        <w:r w:rsidRPr="00851945">
          <w:rPr>
            <w:rFonts w:ascii="Arial" w:eastAsia="Times New Roman" w:hAnsi="Arial" w:cs="Arial"/>
            <w:color w:val="AAAAAA"/>
            <w:sz w:val="20"/>
            <w:szCs w:val="20"/>
            <w:shd w:val="clear" w:color="auto" w:fill="FFFFFF"/>
          </w:rPr>
          <w:t>536</w:t>
        </w:r>
      </w:hyperlink>
      <w:hyperlink r:id="rId95" w:anchor="p536" w:history="1">
        <w:r w:rsidRPr="00851945">
          <w:rPr>
            <w:rFonts w:ascii="Arial" w:eastAsia="Times New Roman" w:hAnsi="Arial" w:cs="Arial"/>
            <w:color w:val="AAAAAA"/>
            <w:sz w:val="20"/>
            <w:szCs w:val="20"/>
          </w:rPr>
          <w:t>*536</w:t>
        </w:r>
      </w:hyperlink>
      <w:r w:rsidRPr="00851945">
        <w:rPr>
          <w:rFonts w:ascii="Arial" w:eastAsia="Times New Roman" w:hAnsi="Arial" w:cs="Arial"/>
          <w:color w:val="222222"/>
          <w:sz w:val="23"/>
          <w:szCs w:val="23"/>
        </w:rPr>
        <w:t xml:space="preserve"> that order on procedural grounds must be reversed.</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Given the number of the issues discussed in this opinion, we summarize the grounds for our decision briefly. First, employer preserved its challenge that, as a result of the Controlled Substances Act, the use of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is an illegal use of drugs within the meaning of ORS 659A.124. Second, two potentially applicable exclusions from the phrase "illegal use of drugs"—the use of drugs authorized by state law and the use of drugs taken under the supervision of a licensed health care professional—do not apply here. Third, regarding the first potentially applicable exclusion, to the extent that ORS 475.306(1) authorizes the use of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the Controlled Substances Act preempts that subsection. We note that our holding in this regard is limited to ORS 475.306(1); we do not hold that the Controlled Substances Act preempts provisions of the Oregon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Act that exempt the possession, manufacture, or distribution of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from state criminal liability. Fourth, because employee was currently engaged in the illegal use of drugs and employer discharged him for that reason, the protections of ORS 659A.112, including the obligation to engage in a meaningful interactive discussion, do not apply. </w:t>
      </w:r>
      <w:proofErr w:type="gramStart"/>
      <w:r w:rsidRPr="00851945">
        <w:rPr>
          <w:rFonts w:ascii="Arial" w:eastAsia="Times New Roman" w:hAnsi="Arial" w:cs="Arial"/>
          <w:color w:val="222222"/>
          <w:sz w:val="23"/>
          <w:szCs w:val="23"/>
        </w:rPr>
        <w:t>ORS 659A.124.</w:t>
      </w:r>
      <w:proofErr w:type="gramEnd"/>
      <w:r w:rsidRPr="00851945">
        <w:rPr>
          <w:rFonts w:ascii="Arial" w:eastAsia="Times New Roman" w:hAnsi="Arial" w:cs="Arial"/>
          <w:color w:val="222222"/>
          <w:sz w:val="23"/>
          <w:szCs w:val="23"/>
        </w:rPr>
        <w:t xml:space="preserve"> It follows that BOLI erred in ruling that employer violated ORS 659A.112.</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The decision of the Court of Appeals and the revised order on reconsideration of the Commissioner of the Bureau of Labor and Industries are reversed.</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WALTERS, J., dissented and filed an opinion, in which DURHAM, J., joined.</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lastRenderedPageBreak/>
        <w:t xml:space="preserve">WALTERS, J., </w:t>
      </w:r>
      <w:proofErr w:type="gramStart"/>
      <w:r w:rsidRPr="00851945">
        <w:rPr>
          <w:rFonts w:ascii="Arial" w:eastAsia="Times New Roman" w:hAnsi="Arial" w:cs="Arial"/>
          <w:color w:val="222222"/>
          <w:sz w:val="23"/>
          <w:szCs w:val="23"/>
        </w:rPr>
        <w:t>dissenting.</w:t>
      </w:r>
      <w:proofErr w:type="gramEnd"/>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Neither the Oregon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Act nor any provision thereof permits or requires the violation of the Controlled Substances Act or affects or precludes its enforcement. Therefore, neither the Oregon act nor any provision thereof stands as an obstacle to the federal act. Because the majority wrongly holds otherwise, and because, in doing so, it wrongly limits this state's power to make its own laws, I respectfully dissent.</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The United States Constitution establishes a system of dual sovereignty in which state and federal governments exercise concurrent authority over the people. </w:t>
      </w:r>
      <w:hyperlink r:id="rId96" w:history="1">
        <w:proofErr w:type="spellStart"/>
        <w:proofErr w:type="gramStart"/>
        <w:r w:rsidRPr="00851945">
          <w:rPr>
            <w:rFonts w:ascii="Arial" w:eastAsia="Times New Roman" w:hAnsi="Arial" w:cs="Arial"/>
            <w:i/>
            <w:iCs/>
            <w:color w:val="1A0DAB"/>
            <w:sz w:val="23"/>
            <w:szCs w:val="23"/>
            <w:u w:val="single"/>
          </w:rPr>
          <w:t>Printz</w:t>
        </w:r>
        <w:proofErr w:type="spellEnd"/>
        <w:r w:rsidRPr="00851945">
          <w:rPr>
            <w:rFonts w:ascii="Arial" w:eastAsia="Times New Roman" w:hAnsi="Arial" w:cs="Arial"/>
            <w:i/>
            <w:iCs/>
            <w:color w:val="1A0DAB"/>
            <w:sz w:val="23"/>
            <w:szCs w:val="23"/>
            <w:u w:val="single"/>
          </w:rPr>
          <w:t xml:space="preserve"> v. United States,</w:t>
        </w:r>
        <w:r w:rsidRPr="00851945">
          <w:rPr>
            <w:rFonts w:ascii="Arial" w:eastAsia="Times New Roman" w:hAnsi="Arial" w:cs="Arial"/>
            <w:color w:val="1A0DAB"/>
            <w:sz w:val="23"/>
            <w:szCs w:val="23"/>
            <w:u w:val="single"/>
          </w:rPr>
          <w:t xml:space="preserve"> 521 U.S. 898, 920, 117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2365, 138 L.Ed.2d 914 (1997)</w:t>
        </w:r>
      </w:hyperlink>
      <w:r w:rsidRPr="00851945">
        <w:rPr>
          <w:rFonts w:ascii="Arial" w:eastAsia="Times New Roman" w:hAnsi="Arial" w:cs="Arial"/>
          <w:color w:val="222222"/>
          <w:sz w:val="23"/>
          <w:szCs w:val="23"/>
        </w:rPr>
        <w:t>.</w:t>
      </w:r>
      <w:proofErr w:type="gramEnd"/>
      <w:r w:rsidRPr="00851945">
        <w:rPr>
          <w:rFonts w:ascii="Arial" w:eastAsia="Times New Roman" w:hAnsi="Arial" w:cs="Arial"/>
          <w:color w:val="222222"/>
          <w:sz w:val="23"/>
          <w:szCs w:val="23"/>
        </w:rPr>
        <w:t xml:space="preserve"> Each government is supreme within its own sphere. </w:t>
      </w:r>
      <w:r w:rsidRPr="00851945">
        <w:rPr>
          <w:rFonts w:ascii="Arial" w:eastAsia="Times New Roman" w:hAnsi="Arial" w:cs="Arial"/>
          <w:i/>
          <w:iCs/>
          <w:color w:val="222222"/>
          <w:sz w:val="23"/>
          <w:szCs w:val="23"/>
        </w:rPr>
        <w:t>Id.</w:t>
      </w:r>
      <w:r w:rsidRPr="00851945">
        <w:rPr>
          <w:rFonts w:ascii="Arial" w:eastAsia="Times New Roman" w:hAnsi="Arial" w:cs="Arial"/>
          <w:color w:val="222222"/>
          <w:sz w:val="23"/>
          <w:szCs w:val="23"/>
        </w:rPr>
        <w:t xml:space="preserve"> at 920-21, 117 </w:t>
      </w:r>
      <w:proofErr w:type="spellStart"/>
      <w:r w:rsidRPr="00851945">
        <w:rPr>
          <w:rFonts w:ascii="Arial" w:eastAsia="Times New Roman" w:hAnsi="Arial" w:cs="Arial"/>
          <w:color w:val="222222"/>
          <w:sz w:val="23"/>
          <w:szCs w:val="23"/>
        </w:rPr>
        <w:t>S.Ct</w:t>
      </w:r>
      <w:proofErr w:type="spellEnd"/>
      <w:r w:rsidRPr="00851945">
        <w:rPr>
          <w:rFonts w:ascii="Arial" w:eastAsia="Times New Roman" w:hAnsi="Arial" w:cs="Arial"/>
          <w:color w:val="222222"/>
          <w:sz w:val="23"/>
          <w:szCs w:val="23"/>
        </w:rPr>
        <w:t xml:space="preserve">. 2365. In enacting the federal Controlled Substances Act, which prohibits all use of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Congress acted pursuant to its authority under the Commerce Clause. </w:t>
      </w:r>
      <w:hyperlink r:id="rId97" w:history="1">
        <w:proofErr w:type="gramStart"/>
        <w:r w:rsidRPr="00851945">
          <w:rPr>
            <w:rFonts w:ascii="Arial" w:eastAsia="Times New Roman" w:hAnsi="Arial" w:cs="Arial"/>
            <w:i/>
            <w:iCs/>
            <w:color w:val="1A0DAB"/>
            <w:sz w:val="23"/>
            <w:szCs w:val="23"/>
            <w:u w:val="single"/>
          </w:rPr>
          <w:t xml:space="preserve">Gonzales v. </w:t>
        </w:r>
        <w:proofErr w:type="spellStart"/>
        <w:r w:rsidRPr="00851945">
          <w:rPr>
            <w:rFonts w:ascii="Arial" w:eastAsia="Times New Roman" w:hAnsi="Arial" w:cs="Arial"/>
            <w:i/>
            <w:iCs/>
            <w:color w:val="1A0DAB"/>
            <w:sz w:val="23"/>
            <w:szCs w:val="23"/>
            <w:u w:val="single"/>
          </w:rPr>
          <w:t>Raich</w:t>
        </w:r>
        <w:proofErr w:type="spellEnd"/>
        <w:r w:rsidRPr="00851945">
          <w:rPr>
            <w:rFonts w:ascii="Arial" w:eastAsia="Times New Roman" w:hAnsi="Arial" w:cs="Arial"/>
            <w:i/>
            <w:iCs/>
            <w:color w:val="1A0DAB"/>
            <w:sz w:val="23"/>
            <w:szCs w:val="23"/>
            <w:u w:val="single"/>
          </w:rPr>
          <w:t>,</w:t>
        </w:r>
        <w:r w:rsidRPr="00851945">
          <w:rPr>
            <w:rFonts w:ascii="Arial" w:eastAsia="Times New Roman" w:hAnsi="Arial" w:cs="Arial"/>
            <w:color w:val="1A0DAB"/>
            <w:sz w:val="23"/>
            <w:szCs w:val="23"/>
            <w:u w:val="single"/>
          </w:rPr>
          <w:t xml:space="preserve"> 545 U.S. 1, 5, 125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2195, 162 L.Ed.2d 1 (2005)</w:t>
        </w:r>
      </w:hyperlink>
      <w:r w:rsidRPr="00851945">
        <w:rPr>
          <w:rFonts w:ascii="Arial" w:eastAsia="Times New Roman" w:hAnsi="Arial" w:cs="Arial"/>
          <w:color w:val="222222"/>
          <w:sz w:val="23"/>
          <w:szCs w:val="23"/>
        </w:rPr>
        <w:t>.</w:t>
      </w:r>
      <w:proofErr w:type="gramEnd"/>
      <w:r w:rsidRPr="00851945">
        <w:rPr>
          <w:rFonts w:ascii="Arial" w:eastAsia="Times New Roman" w:hAnsi="Arial" w:cs="Arial"/>
          <w:color w:val="222222"/>
          <w:sz w:val="23"/>
          <w:szCs w:val="23"/>
        </w:rPr>
        <w:t xml:space="preserve"> In enacting the Oregon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Act, which permits the circumscribed use of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Oregon acted pursuant to its historic power to define state criminal law and to protect the health, safety, and welfare of its citizens. </w:t>
      </w:r>
      <w:hyperlink r:id="rId98" w:history="1">
        <w:proofErr w:type="gramStart"/>
        <w:r w:rsidRPr="00851945">
          <w:rPr>
            <w:rFonts w:ascii="Arial" w:eastAsia="Times New Roman" w:hAnsi="Arial" w:cs="Arial"/>
            <w:i/>
            <w:iCs/>
            <w:color w:val="1A0DAB"/>
            <w:sz w:val="23"/>
            <w:szCs w:val="23"/>
            <w:u w:val="single"/>
          </w:rPr>
          <w:t>Whalen v. Roe,</w:t>
        </w:r>
        <w:r w:rsidRPr="00851945">
          <w:rPr>
            <w:rFonts w:ascii="Arial" w:eastAsia="Times New Roman" w:hAnsi="Arial" w:cs="Arial"/>
            <w:color w:val="1A0DAB"/>
            <w:sz w:val="23"/>
            <w:szCs w:val="23"/>
            <w:u w:val="single"/>
          </w:rPr>
          <w:t xml:space="preserve"> 429 U.S. 589, 603, 603 n. 30, 97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869, 51 L.Ed.2d 64 (1977)</w:t>
        </w:r>
      </w:hyperlink>
      <w:r w:rsidRPr="00851945">
        <w:rPr>
          <w:rFonts w:ascii="Arial" w:eastAsia="Times New Roman" w:hAnsi="Arial" w:cs="Arial"/>
          <w:color w:val="222222"/>
          <w:sz w:val="23"/>
          <w:szCs w:val="23"/>
        </w:rPr>
        <w:t xml:space="preserve">; </w:t>
      </w:r>
      <w:hyperlink r:id="rId99" w:history="1">
        <w:r w:rsidRPr="00851945">
          <w:rPr>
            <w:rFonts w:ascii="Arial" w:eastAsia="Times New Roman" w:hAnsi="Arial" w:cs="Arial"/>
            <w:i/>
            <w:iCs/>
            <w:color w:val="1A0DAB"/>
            <w:sz w:val="23"/>
            <w:szCs w:val="23"/>
            <w:u w:val="single"/>
          </w:rPr>
          <w:t>Robinson v. California,</w:t>
        </w:r>
        <w:r w:rsidRPr="00851945">
          <w:rPr>
            <w:rFonts w:ascii="Arial" w:eastAsia="Times New Roman" w:hAnsi="Arial" w:cs="Arial"/>
            <w:color w:val="1A0DAB"/>
            <w:sz w:val="23"/>
            <w:szCs w:val="23"/>
            <w:u w:val="single"/>
          </w:rPr>
          <w:t xml:space="preserve"> 370 U.S. 660, 664, 82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1417, 8 L.Ed.2d 758 (1962)</w:t>
        </w:r>
      </w:hyperlink>
      <w:r w:rsidRPr="00851945">
        <w:rPr>
          <w:rFonts w:ascii="Arial" w:eastAsia="Times New Roman" w:hAnsi="Arial" w:cs="Arial"/>
          <w:color w:val="222222"/>
          <w:sz w:val="23"/>
          <w:szCs w:val="23"/>
        </w:rPr>
        <w:t>.</w:t>
      </w:r>
      <w:proofErr w:type="gramEnd"/>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In enacting the Controlled Substances Act, Congress did not have the power to require Oregon to adopt, as state criminal law, the policy choices represented in that federal act. Congress does not have the power to commandeer a state's legislative processes by compelling it to enact or enforce federal laws. </w:t>
      </w:r>
      <w:hyperlink r:id="rId100" w:history="1">
        <w:proofErr w:type="gramStart"/>
        <w:r w:rsidRPr="00851945">
          <w:rPr>
            <w:rFonts w:ascii="Arial" w:eastAsia="Times New Roman" w:hAnsi="Arial" w:cs="Arial"/>
            <w:i/>
            <w:iCs/>
            <w:color w:val="1A0DAB"/>
            <w:sz w:val="23"/>
            <w:szCs w:val="23"/>
            <w:u w:val="single"/>
          </w:rPr>
          <w:t>New York v. United States,</w:t>
        </w:r>
        <w:r w:rsidRPr="00851945">
          <w:rPr>
            <w:rFonts w:ascii="Arial" w:eastAsia="Times New Roman" w:hAnsi="Arial" w:cs="Arial"/>
            <w:color w:val="1A0DAB"/>
            <w:sz w:val="23"/>
            <w:szCs w:val="23"/>
            <w:u w:val="single"/>
          </w:rPr>
          <w:t xml:space="preserve"> 505 U.S. 144, 149, 112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2408, 120 L.Ed.2d 120 (1992)</w:t>
        </w:r>
      </w:hyperlink>
      <w:r w:rsidRPr="00851945">
        <w:rPr>
          <w:rFonts w:ascii="Arial" w:eastAsia="Times New Roman" w:hAnsi="Arial" w:cs="Arial"/>
          <w:color w:val="222222"/>
          <w:sz w:val="23"/>
          <w:szCs w:val="23"/>
        </w:rPr>
        <w:t>.</w:t>
      </w:r>
      <w:proofErr w:type="gramEnd"/>
      <w:r w:rsidRPr="00851945">
        <w:rPr>
          <w:rFonts w:ascii="Arial" w:eastAsia="Times New Roman" w:hAnsi="Arial" w:cs="Arial"/>
          <w:color w:val="222222"/>
          <w:sz w:val="23"/>
          <w:szCs w:val="23"/>
        </w:rPr>
        <w:t xml:space="preserve"> "[E]</w:t>
      </w:r>
      <w:proofErr w:type="spellStart"/>
      <w:r w:rsidRPr="00851945">
        <w:rPr>
          <w:rFonts w:ascii="Arial" w:eastAsia="Times New Roman" w:hAnsi="Arial" w:cs="Arial"/>
          <w:color w:val="222222"/>
          <w:sz w:val="23"/>
          <w:szCs w:val="23"/>
        </w:rPr>
        <w:t>ven</w:t>
      </w:r>
      <w:proofErr w:type="spellEnd"/>
      <w:r w:rsidRPr="00851945">
        <w:rPr>
          <w:rFonts w:ascii="Arial" w:eastAsia="Times New Roman" w:hAnsi="Arial" w:cs="Arial"/>
          <w:color w:val="222222"/>
          <w:sz w:val="23"/>
          <w:szCs w:val="23"/>
        </w:rPr>
        <w:t xml:space="preserve"> where Congress has the authority under the Constitution to pass laws requiring or prohibiting certain acts, it lacks the power directly to compel the States to require or prohibit those acts." </w:t>
      </w:r>
      <w:r w:rsidRPr="00851945">
        <w:rPr>
          <w:rFonts w:ascii="Arial" w:eastAsia="Times New Roman" w:hAnsi="Arial" w:cs="Arial"/>
          <w:i/>
          <w:iCs/>
          <w:color w:val="222222"/>
          <w:sz w:val="23"/>
          <w:szCs w:val="23"/>
        </w:rPr>
        <w:t>Id.</w:t>
      </w:r>
      <w:r w:rsidRPr="00851945">
        <w:rPr>
          <w:rFonts w:ascii="Arial" w:eastAsia="Times New Roman" w:hAnsi="Arial" w:cs="Arial"/>
          <w:color w:val="222222"/>
          <w:sz w:val="23"/>
          <w:szCs w:val="23"/>
        </w:rPr>
        <w:t xml:space="preserve"> at 166, 112 </w:t>
      </w:r>
      <w:proofErr w:type="spellStart"/>
      <w:r w:rsidRPr="00851945">
        <w:rPr>
          <w:rFonts w:ascii="Arial" w:eastAsia="Times New Roman" w:hAnsi="Arial" w:cs="Arial"/>
          <w:color w:val="222222"/>
          <w:sz w:val="23"/>
          <w:szCs w:val="23"/>
        </w:rPr>
        <w:t>S.Ct</w:t>
      </w:r>
      <w:proofErr w:type="spellEnd"/>
      <w:r w:rsidRPr="00851945">
        <w:rPr>
          <w:rFonts w:ascii="Arial" w:eastAsia="Times New Roman" w:hAnsi="Arial" w:cs="Arial"/>
          <w:color w:val="222222"/>
          <w:sz w:val="23"/>
          <w:szCs w:val="23"/>
        </w:rPr>
        <w:t>. 2408.</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Because it had authority to enact the Controlled Substances Act, Congress did, however, have the power to expressly preempt state laws that conflict with the Controlled Substances Act. A cornerstone of the Supreme Court's Supremacy Clause analysis is that "[</w:t>
      </w:r>
      <w:proofErr w:type="spellStart"/>
      <w:r w:rsidRPr="00851945">
        <w:rPr>
          <w:rFonts w:ascii="Arial" w:eastAsia="Times New Roman" w:hAnsi="Arial" w:cs="Arial"/>
          <w:color w:val="222222"/>
          <w:sz w:val="23"/>
          <w:szCs w:val="23"/>
        </w:rPr>
        <w:t>i</w:t>
      </w:r>
      <w:proofErr w:type="spellEnd"/>
      <w:r w:rsidRPr="00851945">
        <w:rPr>
          <w:rFonts w:ascii="Arial" w:eastAsia="Times New Roman" w:hAnsi="Arial" w:cs="Arial"/>
          <w:color w:val="222222"/>
          <w:sz w:val="23"/>
          <w:szCs w:val="23"/>
        </w:rPr>
        <w:t xml:space="preserve">]n all pre-emption cases, and particularly in those in which Congress has legislated in a field which the States have traditionally occupied," the Court "start[s] with the assumption that the historic police powers of the States were not to be superseded by the Federal Act unless that was the clear and </w:t>
      </w:r>
      <w:hyperlink r:id="rId101" w:anchor="p537" w:history="1">
        <w:r w:rsidRPr="00851945">
          <w:rPr>
            <w:rFonts w:ascii="Arial" w:eastAsia="Times New Roman" w:hAnsi="Arial" w:cs="Arial"/>
            <w:color w:val="AAAAAA"/>
            <w:sz w:val="20"/>
            <w:szCs w:val="20"/>
            <w:shd w:val="clear" w:color="auto" w:fill="FFFFFF"/>
          </w:rPr>
          <w:t>537</w:t>
        </w:r>
      </w:hyperlink>
      <w:hyperlink r:id="rId102" w:anchor="p537" w:history="1">
        <w:r w:rsidRPr="00851945">
          <w:rPr>
            <w:rFonts w:ascii="Arial" w:eastAsia="Times New Roman" w:hAnsi="Arial" w:cs="Arial"/>
            <w:color w:val="AAAAAA"/>
            <w:sz w:val="20"/>
            <w:szCs w:val="20"/>
          </w:rPr>
          <w:t>*537</w:t>
        </w:r>
      </w:hyperlink>
      <w:r w:rsidRPr="00851945">
        <w:rPr>
          <w:rFonts w:ascii="Arial" w:eastAsia="Times New Roman" w:hAnsi="Arial" w:cs="Arial"/>
          <w:color w:val="222222"/>
          <w:sz w:val="23"/>
          <w:szCs w:val="23"/>
        </w:rPr>
        <w:t xml:space="preserve"> manifest purpose of Congress." </w:t>
      </w:r>
      <w:hyperlink r:id="rId103" w:history="1">
        <w:r w:rsidRPr="00851945">
          <w:rPr>
            <w:rFonts w:ascii="Arial" w:eastAsia="Times New Roman" w:hAnsi="Arial" w:cs="Arial"/>
            <w:i/>
            <w:iCs/>
            <w:color w:val="1A0DAB"/>
            <w:sz w:val="23"/>
            <w:szCs w:val="23"/>
            <w:u w:val="single"/>
          </w:rPr>
          <w:t>Wyeth v. Levine,</w:t>
        </w:r>
        <w:r w:rsidRPr="00851945">
          <w:rPr>
            <w:rFonts w:ascii="Arial" w:eastAsia="Times New Roman" w:hAnsi="Arial" w:cs="Arial"/>
            <w:color w:val="1A0DAB"/>
            <w:sz w:val="23"/>
            <w:szCs w:val="23"/>
            <w:u w:val="single"/>
          </w:rPr>
          <w:t xml:space="preserve"> ___ U.S. ___, ___, 129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1187, 1194-95, 173 L.Ed.2d 51 (2009)</w:t>
        </w:r>
      </w:hyperlink>
      <w:r w:rsidRPr="00851945">
        <w:rPr>
          <w:rFonts w:ascii="Arial" w:eastAsia="Times New Roman" w:hAnsi="Arial" w:cs="Arial"/>
          <w:color w:val="222222"/>
          <w:sz w:val="23"/>
          <w:szCs w:val="23"/>
        </w:rPr>
        <w:t xml:space="preserve"> (internal ellipsis and quotation marks omitted). The Court relies on that presumption out of "respect for the States as independent sovereigns in our federal system." </w:t>
      </w:r>
      <w:proofErr w:type="gramStart"/>
      <w:r w:rsidRPr="00851945">
        <w:rPr>
          <w:rFonts w:ascii="Arial" w:eastAsia="Times New Roman" w:hAnsi="Arial" w:cs="Arial"/>
          <w:i/>
          <w:iCs/>
          <w:color w:val="222222"/>
          <w:sz w:val="23"/>
          <w:szCs w:val="23"/>
        </w:rPr>
        <w:t>Id.</w:t>
      </w:r>
      <w:r w:rsidRPr="00851945">
        <w:rPr>
          <w:rFonts w:ascii="Arial" w:eastAsia="Times New Roman" w:hAnsi="Arial" w:cs="Arial"/>
          <w:color w:val="222222"/>
          <w:sz w:val="23"/>
          <w:szCs w:val="23"/>
        </w:rPr>
        <w:t xml:space="preserve"> at 1195 n. 3 (internal quotation marks omitted).</w:t>
      </w:r>
      <w:proofErr w:type="gramEnd"/>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As the majority recognizes, the Controlled Substances Act does not include an express preemption provision. 348 Or. </w:t>
      </w:r>
      <w:proofErr w:type="gramStart"/>
      <w:r w:rsidRPr="00851945">
        <w:rPr>
          <w:rFonts w:ascii="Arial" w:eastAsia="Times New Roman" w:hAnsi="Arial" w:cs="Arial"/>
          <w:color w:val="222222"/>
          <w:sz w:val="23"/>
          <w:szCs w:val="23"/>
        </w:rPr>
        <w:t>at</w:t>
      </w:r>
      <w:proofErr w:type="gramEnd"/>
      <w:r w:rsidRPr="00851945">
        <w:rPr>
          <w:rFonts w:ascii="Arial" w:eastAsia="Times New Roman" w:hAnsi="Arial" w:cs="Arial"/>
          <w:color w:val="222222"/>
          <w:sz w:val="23"/>
          <w:szCs w:val="23"/>
        </w:rPr>
        <w:t xml:space="preserve"> 173-75, 230 P.3d at 526-27. It contains, instead, "a saving clause" intended to "preserve state law." </w:t>
      </w:r>
      <w:r w:rsidRPr="00851945">
        <w:rPr>
          <w:rFonts w:ascii="Arial" w:eastAsia="Times New Roman" w:hAnsi="Arial" w:cs="Arial"/>
          <w:i/>
          <w:iCs/>
          <w:color w:val="222222"/>
          <w:sz w:val="23"/>
          <w:szCs w:val="23"/>
        </w:rPr>
        <w:t xml:space="preserve">See </w:t>
      </w:r>
      <w:hyperlink r:id="rId104" w:history="1">
        <w:r w:rsidRPr="00851945">
          <w:rPr>
            <w:rFonts w:ascii="Arial" w:eastAsia="Times New Roman" w:hAnsi="Arial" w:cs="Arial"/>
            <w:i/>
            <w:iCs/>
            <w:color w:val="1A0DAB"/>
            <w:sz w:val="23"/>
            <w:szCs w:val="23"/>
            <w:u w:val="single"/>
          </w:rPr>
          <w:t>Wyeth,</w:t>
        </w:r>
        <w:r w:rsidRPr="00851945">
          <w:rPr>
            <w:rFonts w:ascii="Arial" w:eastAsia="Times New Roman" w:hAnsi="Arial" w:cs="Arial"/>
            <w:color w:val="1A0DAB"/>
            <w:sz w:val="23"/>
            <w:szCs w:val="23"/>
            <w:u w:val="single"/>
          </w:rPr>
          <w:t xml:space="preserve"> 129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at 1196</w:t>
        </w:r>
      </w:hyperlink>
      <w:r w:rsidRPr="00851945">
        <w:rPr>
          <w:rFonts w:ascii="Arial" w:eastAsia="Times New Roman" w:hAnsi="Arial" w:cs="Arial"/>
          <w:color w:val="222222"/>
          <w:sz w:val="23"/>
          <w:szCs w:val="23"/>
        </w:rPr>
        <w:t xml:space="preserve"> (so construing nearly identical provision in Federal Food, Drug, and Cosmetic Act). Thus, the majority should begin its analysis "with the assumption that the historic police powers [exercised by the State of Oregon] were not to be superseded by the Federal Act * * *." </w:t>
      </w:r>
      <w:r w:rsidRPr="00851945">
        <w:rPr>
          <w:rFonts w:ascii="Arial" w:eastAsia="Times New Roman" w:hAnsi="Arial" w:cs="Arial"/>
          <w:i/>
          <w:iCs/>
          <w:color w:val="222222"/>
          <w:sz w:val="23"/>
          <w:szCs w:val="23"/>
        </w:rPr>
        <w:t>Id.</w:t>
      </w:r>
      <w:r w:rsidRPr="00851945">
        <w:rPr>
          <w:rFonts w:ascii="Arial" w:eastAsia="Times New Roman" w:hAnsi="Arial" w:cs="Arial"/>
          <w:color w:val="222222"/>
          <w:sz w:val="23"/>
          <w:szCs w:val="23"/>
        </w:rPr>
        <w:t xml:space="preserve"> at 1194-95.</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lastRenderedPageBreak/>
        <w:t xml:space="preserve">The majority does not do so. It instead implies, from the federal policy choice that the Controlled Substances Act represents, a Congressional intent to preempt provisions of Oregon law that makes a different policy choice. 348 Or. </w:t>
      </w:r>
      <w:proofErr w:type="gramStart"/>
      <w:r w:rsidRPr="00851945">
        <w:rPr>
          <w:rFonts w:ascii="Arial" w:eastAsia="Times New Roman" w:hAnsi="Arial" w:cs="Arial"/>
          <w:color w:val="222222"/>
          <w:sz w:val="23"/>
          <w:szCs w:val="23"/>
        </w:rPr>
        <w:t>at</w:t>
      </w:r>
      <w:proofErr w:type="gramEnd"/>
      <w:r w:rsidRPr="00851945">
        <w:rPr>
          <w:rFonts w:ascii="Arial" w:eastAsia="Times New Roman" w:hAnsi="Arial" w:cs="Arial"/>
          <w:color w:val="222222"/>
          <w:sz w:val="23"/>
          <w:szCs w:val="23"/>
        </w:rPr>
        <w:t xml:space="preserve"> 184, 230 P.3d at 532-33. To understand the majority's error in applying the "obstacle" prong of the United States Supreme Court's implied preemption analysis, it is important to understand the purposes and effects of the federal and state laws that are at issue in this case.</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Congress enacted the federal Controlled Substances Act, as the majority explains, to "conquer drug abuse" and "control" traffic in controlled substances. 348 Or. </w:t>
      </w:r>
      <w:proofErr w:type="gramStart"/>
      <w:r w:rsidRPr="00851945">
        <w:rPr>
          <w:rFonts w:ascii="Arial" w:eastAsia="Times New Roman" w:hAnsi="Arial" w:cs="Arial"/>
          <w:color w:val="222222"/>
          <w:sz w:val="23"/>
          <w:szCs w:val="23"/>
        </w:rPr>
        <w:t>at</w:t>
      </w:r>
      <w:proofErr w:type="gramEnd"/>
      <w:r w:rsidRPr="00851945">
        <w:rPr>
          <w:rFonts w:ascii="Arial" w:eastAsia="Times New Roman" w:hAnsi="Arial" w:cs="Arial"/>
          <w:color w:val="222222"/>
          <w:sz w:val="23"/>
          <w:szCs w:val="23"/>
        </w:rPr>
        <w:t xml:space="preserve"> 172-73, 230 P.3d at 526. In listing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as a Schedule I drug, Congress decided that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has no recognized medical use. </w:t>
      </w:r>
      <w:proofErr w:type="gramStart"/>
      <w:r w:rsidRPr="00851945">
        <w:rPr>
          <w:rFonts w:ascii="Arial" w:eastAsia="Times New Roman" w:hAnsi="Arial" w:cs="Arial"/>
          <w:color w:val="222222"/>
          <w:sz w:val="23"/>
          <w:szCs w:val="23"/>
        </w:rPr>
        <w:t xml:space="preserve">Therefore, "Congress imposed a blanket federal prohibition" on the use of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w:t>
      </w:r>
      <w:proofErr w:type="gramEnd"/>
      <w:r w:rsidRPr="00851945">
        <w:rPr>
          <w:rFonts w:ascii="Arial" w:eastAsia="Times New Roman" w:hAnsi="Arial" w:cs="Arial"/>
          <w:color w:val="222222"/>
          <w:sz w:val="23"/>
          <w:szCs w:val="23"/>
        </w:rPr>
        <w:t xml:space="preserve"> 348 Or. </w:t>
      </w:r>
      <w:proofErr w:type="gramStart"/>
      <w:r w:rsidRPr="00851945">
        <w:rPr>
          <w:rFonts w:ascii="Arial" w:eastAsia="Times New Roman" w:hAnsi="Arial" w:cs="Arial"/>
          <w:color w:val="222222"/>
          <w:sz w:val="23"/>
          <w:szCs w:val="23"/>
        </w:rPr>
        <w:t>at</w:t>
      </w:r>
      <w:proofErr w:type="gramEnd"/>
      <w:r w:rsidRPr="00851945">
        <w:rPr>
          <w:rFonts w:ascii="Arial" w:eastAsia="Times New Roman" w:hAnsi="Arial" w:cs="Arial"/>
          <w:color w:val="222222"/>
          <w:sz w:val="23"/>
          <w:szCs w:val="23"/>
        </w:rPr>
        <w:t xml:space="preserve"> 178, 230 P.3d at 529. As noted, Congress did not expressly indicate, however, that states could not enact their own criminal drug laws or make different decisions about the appropriate use of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Oregon did in fact enact its own criminal drug laws, including the state Uniform Controlled Substances Act (ORS 475.005 to 475.285 and ORS 475.840 to 475.980). That act controls and punishes, as state criminal law, the use of all substances that the federal government classifies as Schedule I drugs, including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w:t>
      </w:r>
      <w:proofErr w:type="gramStart"/>
      <w:r w:rsidRPr="00851945">
        <w:rPr>
          <w:rFonts w:ascii="Arial" w:eastAsia="Times New Roman" w:hAnsi="Arial" w:cs="Arial"/>
          <w:color w:val="222222"/>
          <w:sz w:val="23"/>
          <w:szCs w:val="23"/>
        </w:rPr>
        <w:t>ORS 475.840; ORS 475.856-475.864.</w:t>
      </w:r>
      <w:proofErr w:type="gramEnd"/>
      <w:r w:rsidRPr="00851945">
        <w:rPr>
          <w:rFonts w:ascii="Arial" w:eastAsia="Times New Roman" w:hAnsi="Arial" w:cs="Arial"/>
          <w:color w:val="222222"/>
          <w:sz w:val="23"/>
          <w:szCs w:val="23"/>
        </w:rPr>
        <w:t xml:space="preserve"> Oregon also enacted the Oregon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Act. That act exempts certain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users from the </w:t>
      </w:r>
      <w:r w:rsidRPr="00851945">
        <w:rPr>
          <w:rFonts w:ascii="Arial" w:eastAsia="Times New Roman" w:hAnsi="Arial" w:cs="Arial"/>
          <w:i/>
          <w:iCs/>
          <w:color w:val="222222"/>
          <w:sz w:val="23"/>
          <w:szCs w:val="23"/>
        </w:rPr>
        <w:t>state</w:t>
      </w:r>
      <w:r w:rsidRPr="00851945">
        <w:rPr>
          <w:rFonts w:ascii="Arial" w:eastAsia="Times New Roman" w:hAnsi="Arial" w:cs="Arial"/>
          <w:color w:val="222222"/>
          <w:sz w:val="23"/>
          <w:szCs w:val="23"/>
        </w:rPr>
        <w:t xml:space="preserve"> criminal drug laws, including from the </w:t>
      </w:r>
      <w:r w:rsidRPr="00851945">
        <w:rPr>
          <w:rFonts w:ascii="Arial" w:eastAsia="Times New Roman" w:hAnsi="Arial" w:cs="Arial"/>
          <w:i/>
          <w:iCs/>
          <w:color w:val="222222"/>
          <w:sz w:val="23"/>
          <w:szCs w:val="23"/>
        </w:rPr>
        <w:t>state</w:t>
      </w:r>
      <w:r w:rsidRPr="00851945">
        <w:rPr>
          <w:rFonts w:ascii="Arial" w:eastAsia="Times New Roman" w:hAnsi="Arial" w:cs="Arial"/>
          <w:color w:val="222222"/>
          <w:sz w:val="23"/>
          <w:szCs w:val="23"/>
        </w:rPr>
        <w:t xml:space="preserve"> Uniform Controlled Substances Act. The Oregon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Act does not permit Oregonians to violate the federal Controlled Substances Act or bar the federal government from continuing to enforce the federal Controlled Substances Act against Oregonians. The Oregon Attorney General described the purpose and reach of the Oregon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Act in a letter ruling:</w:t>
      </w:r>
    </w:p>
    <w:p w:rsidR="00851945" w:rsidRPr="00851945" w:rsidRDefault="00851945" w:rsidP="00851945">
      <w:pPr>
        <w:shd w:val="clear" w:color="auto" w:fill="FFFFFF"/>
        <w:spacing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"The Act protects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users who comply with its requirements from </w:t>
      </w:r>
      <w:r w:rsidRPr="00851945">
        <w:rPr>
          <w:rFonts w:ascii="Arial" w:eastAsia="Times New Roman" w:hAnsi="Arial" w:cs="Arial"/>
          <w:i/>
          <w:iCs/>
          <w:color w:val="222222"/>
          <w:sz w:val="23"/>
          <w:szCs w:val="23"/>
        </w:rPr>
        <w:t>state</w:t>
      </w:r>
      <w:r w:rsidRPr="00851945">
        <w:rPr>
          <w:rFonts w:ascii="Arial" w:eastAsia="Times New Roman" w:hAnsi="Arial" w:cs="Arial"/>
          <w:color w:val="222222"/>
          <w:sz w:val="23"/>
          <w:szCs w:val="23"/>
        </w:rPr>
        <w:t xml:space="preserve"> criminal prosecution for production, possession, or delivery of a controlled substance. </w:t>
      </w:r>
      <w:proofErr w:type="gramStart"/>
      <w:r w:rsidRPr="00851945">
        <w:rPr>
          <w:rFonts w:ascii="Arial" w:eastAsia="Times New Roman" w:hAnsi="Arial" w:cs="Arial"/>
          <w:i/>
          <w:iCs/>
          <w:color w:val="222222"/>
          <w:sz w:val="23"/>
          <w:szCs w:val="23"/>
        </w:rPr>
        <w:t>See, e.g.,</w:t>
      </w:r>
      <w:r w:rsidRPr="00851945">
        <w:rPr>
          <w:rFonts w:ascii="Arial" w:eastAsia="Times New Roman" w:hAnsi="Arial" w:cs="Arial"/>
          <w:color w:val="222222"/>
          <w:sz w:val="23"/>
          <w:szCs w:val="23"/>
        </w:rPr>
        <w:t xml:space="preserve"> ORS 475.306(2), 475.309(9) and 475.319.</w:t>
      </w:r>
      <w:proofErr w:type="gramEnd"/>
      <w:r w:rsidRPr="00851945">
        <w:rPr>
          <w:rFonts w:ascii="Arial" w:eastAsia="Times New Roman" w:hAnsi="Arial" w:cs="Arial"/>
          <w:color w:val="222222"/>
          <w:sz w:val="23"/>
          <w:szCs w:val="23"/>
        </w:rPr>
        <w:t xml:space="preserve"> However, </w:t>
      </w:r>
      <w:r w:rsidRPr="00851945">
        <w:rPr>
          <w:rFonts w:ascii="Arial" w:eastAsia="Times New Roman" w:hAnsi="Arial" w:cs="Arial"/>
          <w:i/>
          <w:iCs/>
          <w:color w:val="222222"/>
          <w:sz w:val="23"/>
          <w:szCs w:val="23"/>
        </w:rPr>
        <w:t xml:space="preserve">the Act neither protects </w:t>
      </w:r>
      <w:r w:rsidRPr="00851945">
        <w:rPr>
          <w:rFonts w:ascii="Arial" w:eastAsia="Times New Roman" w:hAnsi="Arial" w:cs="Arial"/>
          <w:b/>
          <w:bCs/>
          <w:i/>
          <w:iCs/>
          <w:color w:val="000000"/>
          <w:sz w:val="23"/>
          <w:szCs w:val="23"/>
          <w:shd w:val="clear" w:color="auto" w:fill="FFFFCC"/>
        </w:rPr>
        <w:t>marijuana</w:t>
      </w:r>
      <w:r w:rsidRPr="00851945">
        <w:rPr>
          <w:rFonts w:ascii="Arial" w:eastAsia="Times New Roman" w:hAnsi="Arial" w:cs="Arial"/>
          <w:i/>
          <w:iCs/>
          <w:color w:val="222222"/>
          <w:sz w:val="23"/>
          <w:szCs w:val="23"/>
        </w:rPr>
        <w:t xml:space="preserve"> plants from seizure nor individuals from prosecution if the federal government chooses to take action</w:t>
      </w:r>
      <w:r w:rsidRPr="00851945">
        <w:rPr>
          <w:rFonts w:ascii="Arial" w:eastAsia="Times New Roman" w:hAnsi="Arial" w:cs="Arial"/>
          <w:color w:val="222222"/>
          <w:sz w:val="23"/>
          <w:szCs w:val="23"/>
        </w:rPr>
        <w:t xml:space="preserve"> against patients or caregivers under the federal [Controlled Substances Act]. The Act is explicit in its scope: `Except as provided in ORS 475.316 and 475.342, a person engaged in or assisting in the medical use of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[in compliance with the terms of the Act] is excepted from the criminal laws </w:t>
      </w:r>
      <w:r w:rsidRPr="00851945">
        <w:rPr>
          <w:rFonts w:ascii="Arial" w:eastAsia="Times New Roman" w:hAnsi="Arial" w:cs="Arial"/>
          <w:i/>
          <w:iCs/>
          <w:color w:val="222222"/>
          <w:sz w:val="23"/>
          <w:szCs w:val="23"/>
        </w:rPr>
        <w:t>of the state</w:t>
      </w:r>
      <w:r w:rsidRPr="00851945">
        <w:rPr>
          <w:rFonts w:ascii="Arial" w:eastAsia="Times New Roman" w:hAnsi="Arial" w:cs="Arial"/>
          <w:color w:val="222222"/>
          <w:sz w:val="23"/>
          <w:szCs w:val="23"/>
        </w:rPr>
        <w:t xml:space="preserve"> for possession, delivery or production of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aiding and abetting another in the possession, delivery or production of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or any other criminal offense in which possession, delivery or production of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is an element * * *.' </w:t>
      </w:r>
      <w:proofErr w:type="gramStart"/>
      <w:r w:rsidRPr="00851945">
        <w:rPr>
          <w:rFonts w:ascii="Arial" w:eastAsia="Times New Roman" w:hAnsi="Arial" w:cs="Arial"/>
          <w:color w:val="222222"/>
          <w:sz w:val="23"/>
          <w:szCs w:val="23"/>
        </w:rPr>
        <w:t>ORS 475.309(1)."</w:t>
      </w:r>
      <w:proofErr w:type="gramEnd"/>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Letter of Advice dated June 17, 2005, to Susan M. Allen, Public Health Director, Department of Human Services, 2 (first emphasis in original; later emphases added).</w:t>
      </w:r>
      <w:bookmarkStart w:id="23" w:name="r[24]"/>
      <w:r w:rsidRPr="00851945">
        <w:rPr>
          <w:rFonts w:ascii="Arial" w:eastAsia="Times New Roman" w:hAnsi="Arial" w:cs="Arial"/>
          <w:color w:val="222222"/>
          <w:sz w:val="23"/>
          <w:szCs w:val="23"/>
          <w:vertAlign w:val="superscript"/>
        </w:rPr>
        <w:fldChar w:fldCharType="begin"/>
      </w:r>
      <w:r w:rsidRPr="00851945">
        <w:rPr>
          <w:rFonts w:ascii="Arial" w:eastAsia="Times New Roman" w:hAnsi="Arial" w:cs="Arial"/>
          <w:color w:val="222222"/>
          <w:sz w:val="23"/>
          <w:szCs w:val="23"/>
          <w:vertAlign w:val="superscript"/>
        </w:rPr>
        <w:instrText xml:space="preserve"> HYPERLINK "http://scholar.google.com/scholar_case?case=12394314758738904678&amp;q=emerald+marijuana&amp;hl=en&amp;as_sdt=4,38" \l "[24]" </w:instrText>
      </w:r>
      <w:r w:rsidRPr="00851945">
        <w:rPr>
          <w:rFonts w:ascii="Arial" w:eastAsia="Times New Roman" w:hAnsi="Arial" w:cs="Arial"/>
          <w:color w:val="222222"/>
          <w:sz w:val="23"/>
          <w:szCs w:val="23"/>
          <w:vertAlign w:val="superscript"/>
        </w:rPr>
        <w:fldChar w:fldCharType="separate"/>
      </w:r>
      <w:r w:rsidRPr="00851945">
        <w:rPr>
          <w:rFonts w:ascii="Arial" w:eastAsia="Times New Roman" w:hAnsi="Arial" w:cs="Arial"/>
          <w:color w:val="1A0DAB"/>
          <w:sz w:val="23"/>
          <w:szCs w:val="23"/>
          <w:u w:val="single"/>
          <w:vertAlign w:val="superscript"/>
        </w:rPr>
        <w:t>[1]</w:t>
      </w:r>
      <w:r w:rsidRPr="00851945">
        <w:rPr>
          <w:rFonts w:ascii="Arial" w:eastAsia="Times New Roman" w:hAnsi="Arial" w:cs="Arial"/>
          <w:color w:val="222222"/>
          <w:sz w:val="23"/>
          <w:szCs w:val="23"/>
          <w:vertAlign w:val="superscript"/>
        </w:rPr>
        <w:fldChar w:fldCharType="end"/>
      </w:r>
      <w:bookmarkEnd w:id="23"/>
      <w:r w:rsidRPr="00851945">
        <w:rPr>
          <w:rFonts w:ascii="Arial" w:eastAsia="Times New Roman" w:hAnsi="Arial" w:cs="Arial"/>
          <w:color w:val="222222"/>
          <w:sz w:val="23"/>
          <w:szCs w:val="23"/>
        </w:rPr>
        <w:t xml:space="preserve"> The </w:t>
      </w:r>
      <w:hyperlink r:id="rId105" w:anchor="p538" w:history="1">
        <w:r w:rsidRPr="00851945">
          <w:rPr>
            <w:rFonts w:ascii="Arial" w:eastAsia="Times New Roman" w:hAnsi="Arial" w:cs="Arial"/>
            <w:color w:val="AAAAAA"/>
            <w:sz w:val="20"/>
            <w:szCs w:val="20"/>
            <w:shd w:val="clear" w:color="auto" w:fill="FFFFFF"/>
          </w:rPr>
          <w:t>538</w:t>
        </w:r>
      </w:hyperlink>
      <w:hyperlink r:id="rId106" w:anchor="p538" w:history="1">
        <w:r w:rsidRPr="00851945">
          <w:rPr>
            <w:rFonts w:ascii="Arial" w:eastAsia="Times New Roman" w:hAnsi="Arial" w:cs="Arial"/>
            <w:color w:val="AAAAAA"/>
            <w:sz w:val="20"/>
            <w:szCs w:val="20"/>
          </w:rPr>
          <w:t>*538</w:t>
        </w:r>
      </w:hyperlink>
      <w:r w:rsidRPr="00851945">
        <w:rPr>
          <w:rFonts w:ascii="Arial" w:eastAsia="Times New Roman" w:hAnsi="Arial" w:cs="Arial"/>
          <w:color w:val="222222"/>
          <w:sz w:val="23"/>
          <w:szCs w:val="23"/>
        </w:rPr>
        <w:t xml:space="preserve"> Oregon Attorney General also concluded in that letter ruling that the decision of the Supreme Court in </w:t>
      </w:r>
      <w:proofErr w:type="spellStart"/>
      <w:r w:rsidRPr="00851945">
        <w:rPr>
          <w:rFonts w:ascii="Arial" w:eastAsia="Times New Roman" w:hAnsi="Arial" w:cs="Arial"/>
          <w:i/>
          <w:iCs/>
          <w:color w:val="222222"/>
          <w:sz w:val="23"/>
          <w:szCs w:val="23"/>
        </w:rPr>
        <w:t>Raich</w:t>
      </w:r>
      <w:proofErr w:type="spellEnd"/>
      <w:r w:rsidRPr="00851945">
        <w:rPr>
          <w:rFonts w:ascii="Arial" w:eastAsia="Times New Roman" w:hAnsi="Arial" w:cs="Arial"/>
          <w:color w:val="222222"/>
          <w:sz w:val="23"/>
          <w:szCs w:val="23"/>
        </w:rPr>
        <w:t>—that Congress had authority to enact the blanket prohibitions in the Controlled Substances Act—had no effect on the validity of Oregon's statute:</w:t>
      </w:r>
    </w:p>
    <w:p w:rsidR="00851945" w:rsidRPr="00851945" w:rsidRDefault="00851945" w:rsidP="00851945">
      <w:pPr>
        <w:shd w:val="clear" w:color="auto" w:fill="FFFFFF"/>
        <w:spacing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w:t>
      </w:r>
      <w:proofErr w:type="spellStart"/>
      <w:r w:rsidRPr="00851945">
        <w:rPr>
          <w:rFonts w:ascii="Arial" w:eastAsia="Times New Roman" w:hAnsi="Arial" w:cs="Arial"/>
          <w:i/>
          <w:iCs/>
          <w:color w:val="222222"/>
          <w:sz w:val="23"/>
          <w:szCs w:val="23"/>
        </w:rPr>
        <w:t>Raich</w:t>
      </w:r>
      <w:proofErr w:type="spellEnd"/>
      <w:r w:rsidRPr="00851945">
        <w:rPr>
          <w:rFonts w:ascii="Arial" w:eastAsia="Times New Roman" w:hAnsi="Arial" w:cs="Arial"/>
          <w:color w:val="222222"/>
          <w:sz w:val="23"/>
          <w:szCs w:val="23"/>
        </w:rPr>
        <w:t xml:space="preserve"> does </w:t>
      </w:r>
      <w:r w:rsidRPr="00851945">
        <w:rPr>
          <w:rFonts w:ascii="Arial" w:eastAsia="Times New Roman" w:hAnsi="Arial" w:cs="Arial"/>
          <w:i/>
          <w:iCs/>
          <w:color w:val="222222"/>
          <w:sz w:val="23"/>
          <w:szCs w:val="23"/>
        </w:rPr>
        <w:t>not</w:t>
      </w:r>
      <w:r w:rsidRPr="00851945">
        <w:rPr>
          <w:rFonts w:ascii="Arial" w:eastAsia="Times New Roman" w:hAnsi="Arial" w:cs="Arial"/>
          <w:color w:val="222222"/>
          <w:sz w:val="23"/>
          <w:szCs w:val="23"/>
        </w:rPr>
        <w:t xml:space="preserve"> hold that state laws regulating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are invalid nor does it require states to repeal existing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laws. Additionally, the case does not </w:t>
      </w:r>
      <w:r w:rsidRPr="00851945">
        <w:rPr>
          <w:rFonts w:ascii="Arial" w:eastAsia="Times New Roman" w:hAnsi="Arial" w:cs="Arial"/>
          <w:color w:val="222222"/>
          <w:sz w:val="23"/>
          <w:szCs w:val="23"/>
        </w:rPr>
        <w:lastRenderedPageBreak/>
        <w:t xml:space="preserve">oblige states to enforce federal laws. * * * The practical effect of </w:t>
      </w:r>
      <w:proofErr w:type="spellStart"/>
      <w:r w:rsidRPr="00851945">
        <w:rPr>
          <w:rFonts w:ascii="Arial" w:eastAsia="Times New Roman" w:hAnsi="Arial" w:cs="Arial"/>
          <w:i/>
          <w:iCs/>
          <w:color w:val="222222"/>
          <w:sz w:val="23"/>
          <w:szCs w:val="23"/>
        </w:rPr>
        <w:t>Raich</w:t>
      </w:r>
      <w:proofErr w:type="spellEnd"/>
      <w:r w:rsidRPr="00851945">
        <w:rPr>
          <w:rFonts w:ascii="Arial" w:eastAsia="Times New Roman" w:hAnsi="Arial" w:cs="Arial"/>
          <w:color w:val="222222"/>
          <w:sz w:val="23"/>
          <w:szCs w:val="23"/>
        </w:rPr>
        <w:t xml:space="preserve"> in Oregon is to affirm what we have understood to be the law since the adoption of the Act."</w:t>
      </w:r>
      <w:bookmarkStart w:id="24" w:name="r[25]"/>
      <w:r w:rsidRPr="00851945">
        <w:rPr>
          <w:rFonts w:ascii="Arial" w:eastAsia="Times New Roman" w:hAnsi="Arial" w:cs="Arial"/>
          <w:color w:val="222222"/>
          <w:sz w:val="23"/>
          <w:szCs w:val="23"/>
          <w:vertAlign w:val="superscript"/>
        </w:rPr>
        <w:fldChar w:fldCharType="begin"/>
      </w:r>
      <w:r w:rsidRPr="00851945">
        <w:rPr>
          <w:rFonts w:ascii="Arial" w:eastAsia="Times New Roman" w:hAnsi="Arial" w:cs="Arial"/>
          <w:color w:val="222222"/>
          <w:sz w:val="23"/>
          <w:szCs w:val="23"/>
          <w:vertAlign w:val="superscript"/>
        </w:rPr>
        <w:instrText xml:space="preserve"> HYPERLINK "http://scholar.google.com/scholar_case?case=12394314758738904678&amp;q=emerald+marijuana&amp;hl=en&amp;as_sdt=4,38" \l "[25]" </w:instrText>
      </w:r>
      <w:r w:rsidRPr="00851945">
        <w:rPr>
          <w:rFonts w:ascii="Arial" w:eastAsia="Times New Roman" w:hAnsi="Arial" w:cs="Arial"/>
          <w:color w:val="222222"/>
          <w:sz w:val="23"/>
          <w:szCs w:val="23"/>
          <w:vertAlign w:val="superscript"/>
        </w:rPr>
        <w:fldChar w:fldCharType="separate"/>
      </w:r>
      <w:r w:rsidRPr="00851945">
        <w:rPr>
          <w:rFonts w:ascii="Arial" w:eastAsia="Times New Roman" w:hAnsi="Arial" w:cs="Arial"/>
          <w:color w:val="1A0DAB"/>
          <w:sz w:val="23"/>
          <w:szCs w:val="23"/>
          <w:u w:val="single"/>
          <w:vertAlign w:val="superscript"/>
        </w:rPr>
        <w:t>[2]</w:t>
      </w:r>
      <w:r w:rsidRPr="00851945">
        <w:rPr>
          <w:rFonts w:ascii="Arial" w:eastAsia="Times New Roman" w:hAnsi="Arial" w:cs="Arial"/>
          <w:color w:val="222222"/>
          <w:sz w:val="23"/>
          <w:szCs w:val="23"/>
          <w:vertAlign w:val="superscript"/>
        </w:rPr>
        <w:fldChar w:fldCharType="end"/>
      </w:r>
      <w:bookmarkEnd w:id="24"/>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proofErr w:type="gramStart"/>
      <w:r w:rsidRPr="00851945">
        <w:rPr>
          <w:rFonts w:ascii="Arial" w:eastAsia="Times New Roman" w:hAnsi="Arial" w:cs="Arial"/>
          <w:i/>
          <w:iCs/>
          <w:color w:val="222222"/>
          <w:sz w:val="23"/>
          <w:szCs w:val="23"/>
        </w:rPr>
        <w:t>Id.</w:t>
      </w:r>
      <w:r w:rsidRPr="00851945">
        <w:rPr>
          <w:rFonts w:ascii="Arial" w:eastAsia="Times New Roman" w:hAnsi="Arial" w:cs="Arial"/>
          <w:color w:val="222222"/>
          <w:sz w:val="23"/>
          <w:szCs w:val="23"/>
        </w:rPr>
        <w:t xml:space="preserve"> (emphasis in original).</w:t>
      </w:r>
      <w:proofErr w:type="gramEnd"/>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The majority seems to accept that the Oregon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Act does not bar the federal government from enforcing the Controlled Substances Act. The majority acknowledges that "state law does not prevent the federal government from enforcing its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laws against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users in Oregon if the federal government chooses to do so." 348 Or. </w:t>
      </w:r>
      <w:proofErr w:type="gramStart"/>
      <w:r w:rsidRPr="00851945">
        <w:rPr>
          <w:rFonts w:ascii="Arial" w:eastAsia="Times New Roman" w:hAnsi="Arial" w:cs="Arial"/>
          <w:color w:val="222222"/>
          <w:sz w:val="23"/>
          <w:szCs w:val="23"/>
        </w:rPr>
        <w:t>at</w:t>
      </w:r>
      <w:proofErr w:type="gramEnd"/>
      <w:r w:rsidRPr="00851945">
        <w:rPr>
          <w:rFonts w:ascii="Arial" w:eastAsia="Times New Roman" w:hAnsi="Arial" w:cs="Arial"/>
          <w:color w:val="222222"/>
          <w:sz w:val="23"/>
          <w:szCs w:val="23"/>
        </w:rPr>
        <w:t xml:space="preserve"> 178, 230 P.3d at 529. The majority also seems to accept, as a result, that provisions of the Oregon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Act that exempt persons from state criminal liability do not pose an obstacle to the Controlled Substances Act.</w:t>
      </w:r>
      <w:bookmarkStart w:id="25" w:name="r[26]"/>
      <w:r w:rsidRPr="00851945">
        <w:rPr>
          <w:rFonts w:ascii="Arial" w:eastAsia="Times New Roman" w:hAnsi="Arial" w:cs="Arial"/>
          <w:color w:val="222222"/>
          <w:sz w:val="23"/>
          <w:szCs w:val="23"/>
          <w:vertAlign w:val="superscript"/>
        </w:rPr>
        <w:fldChar w:fldCharType="begin"/>
      </w:r>
      <w:r w:rsidRPr="00851945">
        <w:rPr>
          <w:rFonts w:ascii="Arial" w:eastAsia="Times New Roman" w:hAnsi="Arial" w:cs="Arial"/>
          <w:color w:val="222222"/>
          <w:sz w:val="23"/>
          <w:szCs w:val="23"/>
          <w:vertAlign w:val="superscript"/>
        </w:rPr>
        <w:instrText xml:space="preserve"> HYPERLINK "http://scholar.google.com/scholar_case?case=12394314758738904678&amp;q=emerald+marijuana&amp;hl=en&amp;as_sdt=4,38" \l "[26]" </w:instrText>
      </w:r>
      <w:r w:rsidRPr="00851945">
        <w:rPr>
          <w:rFonts w:ascii="Arial" w:eastAsia="Times New Roman" w:hAnsi="Arial" w:cs="Arial"/>
          <w:color w:val="222222"/>
          <w:sz w:val="23"/>
          <w:szCs w:val="23"/>
          <w:vertAlign w:val="superscript"/>
        </w:rPr>
        <w:fldChar w:fldCharType="separate"/>
      </w:r>
      <w:r w:rsidRPr="00851945">
        <w:rPr>
          <w:rFonts w:ascii="Arial" w:eastAsia="Times New Roman" w:hAnsi="Arial" w:cs="Arial"/>
          <w:color w:val="1A0DAB"/>
          <w:sz w:val="23"/>
          <w:szCs w:val="23"/>
          <w:u w:val="single"/>
          <w:vertAlign w:val="superscript"/>
        </w:rPr>
        <w:t>[3]</w:t>
      </w:r>
      <w:r w:rsidRPr="00851945">
        <w:rPr>
          <w:rFonts w:ascii="Arial" w:eastAsia="Times New Roman" w:hAnsi="Arial" w:cs="Arial"/>
          <w:color w:val="222222"/>
          <w:sz w:val="23"/>
          <w:szCs w:val="23"/>
          <w:vertAlign w:val="superscript"/>
        </w:rPr>
        <w:fldChar w:fldCharType="end"/>
      </w:r>
      <w:bookmarkEnd w:id="25"/>
      <w:r w:rsidRPr="00851945">
        <w:rPr>
          <w:rFonts w:ascii="Arial" w:eastAsia="Times New Roman" w:hAnsi="Arial" w:cs="Arial"/>
          <w:color w:val="222222"/>
          <w:sz w:val="23"/>
          <w:szCs w:val="23"/>
        </w:rPr>
        <w:t xml:space="preserve"> However, in the majority's view, one subsection of the Oregon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Act, ORS 475.306(1), presents an obstacle to the Controlled Substances Act and does so solely because it includes words of authorization. </w:t>
      </w:r>
      <w:r w:rsidRPr="00851945">
        <w:rPr>
          <w:rFonts w:ascii="Arial" w:eastAsia="Times New Roman" w:hAnsi="Arial" w:cs="Arial"/>
          <w:i/>
          <w:iCs/>
          <w:color w:val="222222"/>
          <w:sz w:val="23"/>
          <w:szCs w:val="23"/>
        </w:rPr>
        <w:t>Id.</w:t>
      </w:r>
      <w:r w:rsidRPr="00851945">
        <w:rPr>
          <w:rFonts w:ascii="Arial" w:eastAsia="Times New Roman" w:hAnsi="Arial" w:cs="Arial"/>
          <w:color w:val="222222"/>
          <w:sz w:val="23"/>
          <w:szCs w:val="23"/>
        </w:rPr>
        <w:t xml:space="preserve"> at 178-79, </w:t>
      </w:r>
      <w:proofErr w:type="gramStart"/>
      <w:r w:rsidRPr="00851945">
        <w:rPr>
          <w:rFonts w:ascii="Arial" w:eastAsia="Times New Roman" w:hAnsi="Arial" w:cs="Arial"/>
          <w:color w:val="222222"/>
          <w:sz w:val="23"/>
          <w:szCs w:val="23"/>
        </w:rPr>
        <w:t>230 P.3d at 529-30</w:t>
      </w:r>
      <w:proofErr w:type="gramEnd"/>
      <w:r w:rsidRPr="00851945">
        <w:rPr>
          <w:rFonts w:ascii="Arial" w:eastAsia="Times New Roman" w:hAnsi="Arial" w:cs="Arial"/>
          <w:color w:val="222222"/>
          <w:sz w:val="23"/>
          <w:szCs w:val="23"/>
        </w:rPr>
        <w:t>.</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As I will explain in more detail, I believe that the majority is incorrect in reaching that conclusion. First, the words of authorization used in ORS 475.306(1) and other subsections of the Oregon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Act serve only to make operable the exceptions to and exemptions from state prosecution provided in the remainder of the act. The words of authorization used in those subsections do not grant authorization to act that is not already inherent in the exceptions or exemptions, nor do they permit the violation of federal law. Second, in instances in which state law imposes standards of conduct that are different than the standards of conduct imposed by federal law, but both laws can be enforced, the Supreme Court has not held the state laws to be obstacles to the federal laws, nor discerned an implied Congressional intent to preempt the state laws from the different policy choices made by the federal government. Thus, the majority is incorrect in finding that the standard of conduct and policy choice represented by the Controlled Substances Act prohibits a different state standard of conduct and policy choice. Both the Oregon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Act and the </w:t>
      </w:r>
      <w:hyperlink r:id="rId107" w:anchor="p539" w:history="1">
        <w:r w:rsidRPr="00851945">
          <w:rPr>
            <w:rFonts w:ascii="Arial" w:eastAsia="Times New Roman" w:hAnsi="Arial" w:cs="Arial"/>
            <w:color w:val="AAAAAA"/>
            <w:sz w:val="20"/>
            <w:szCs w:val="20"/>
            <w:shd w:val="clear" w:color="auto" w:fill="FFFFFF"/>
          </w:rPr>
          <w:t>539</w:t>
        </w:r>
      </w:hyperlink>
      <w:hyperlink r:id="rId108" w:anchor="p539" w:history="1">
        <w:r w:rsidRPr="00851945">
          <w:rPr>
            <w:rFonts w:ascii="Arial" w:eastAsia="Times New Roman" w:hAnsi="Arial" w:cs="Arial"/>
            <w:color w:val="AAAAAA"/>
            <w:sz w:val="20"/>
            <w:szCs w:val="20"/>
          </w:rPr>
          <w:t>*539</w:t>
        </w:r>
      </w:hyperlink>
      <w:r w:rsidRPr="00851945">
        <w:rPr>
          <w:rFonts w:ascii="Arial" w:eastAsia="Times New Roman" w:hAnsi="Arial" w:cs="Arial"/>
          <w:color w:val="222222"/>
          <w:sz w:val="23"/>
          <w:szCs w:val="23"/>
        </w:rPr>
        <w:t xml:space="preserve"> Controlled Substances Act can be enforced, and this state court should not interpret the federal act to impliedly preempt the state act.</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The Oregon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Act contains a number of subsections that use words of authorization. Those subsections are interwoven with the subsections of the act that except and exempt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users from criminal liability. For instance, ORS 475.309, which the majority cites as a provision that </w:t>
      </w:r>
      <w:proofErr w:type="gramStart"/>
      <w:r w:rsidRPr="00851945">
        <w:rPr>
          <w:rFonts w:ascii="Arial" w:eastAsia="Times New Roman" w:hAnsi="Arial" w:cs="Arial"/>
          <w:color w:val="222222"/>
          <w:sz w:val="23"/>
          <w:szCs w:val="23"/>
        </w:rPr>
        <w:t>excepts</w:t>
      </w:r>
      <w:proofErr w:type="gramEnd"/>
      <w:r w:rsidRPr="00851945">
        <w:rPr>
          <w:rFonts w:ascii="Arial" w:eastAsia="Times New Roman" w:hAnsi="Arial" w:cs="Arial"/>
          <w:color w:val="222222"/>
          <w:sz w:val="23"/>
          <w:szCs w:val="23"/>
        </w:rPr>
        <w:t xml:space="preserve"> persons who use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from state criminal liability, 348 Or. </w:t>
      </w:r>
      <w:proofErr w:type="gramStart"/>
      <w:r w:rsidRPr="00851945">
        <w:rPr>
          <w:rFonts w:ascii="Arial" w:eastAsia="Times New Roman" w:hAnsi="Arial" w:cs="Arial"/>
          <w:color w:val="222222"/>
          <w:sz w:val="23"/>
          <w:szCs w:val="23"/>
        </w:rPr>
        <w:t>at</w:t>
      </w:r>
      <w:proofErr w:type="gramEnd"/>
      <w:r w:rsidRPr="00851945">
        <w:rPr>
          <w:rFonts w:ascii="Arial" w:eastAsia="Times New Roman" w:hAnsi="Arial" w:cs="Arial"/>
          <w:color w:val="222222"/>
          <w:sz w:val="23"/>
          <w:szCs w:val="23"/>
        </w:rPr>
        <w:t xml:space="preserve"> 179-80, 230 P.3d at 530, provides that a person engaged in or assisting in the medical use of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"is </w:t>
      </w:r>
      <w:r w:rsidRPr="00851945">
        <w:rPr>
          <w:rFonts w:ascii="Arial" w:eastAsia="Times New Roman" w:hAnsi="Arial" w:cs="Arial"/>
          <w:i/>
          <w:iCs/>
          <w:color w:val="222222"/>
          <w:sz w:val="23"/>
          <w:szCs w:val="23"/>
        </w:rPr>
        <w:t>excepted</w:t>
      </w:r>
      <w:r w:rsidRPr="00851945">
        <w:rPr>
          <w:rFonts w:ascii="Arial" w:eastAsia="Times New Roman" w:hAnsi="Arial" w:cs="Arial"/>
          <w:color w:val="222222"/>
          <w:sz w:val="23"/>
          <w:szCs w:val="23"/>
        </w:rPr>
        <w:t xml:space="preserve"> from the criminal laws of the state" </w:t>
      </w:r>
      <w:r w:rsidRPr="00851945">
        <w:rPr>
          <w:rFonts w:ascii="Arial" w:eastAsia="Times New Roman" w:hAnsi="Arial" w:cs="Arial"/>
          <w:i/>
          <w:iCs/>
          <w:color w:val="222222"/>
          <w:sz w:val="23"/>
          <w:szCs w:val="23"/>
        </w:rPr>
        <w:t>if</w:t>
      </w:r>
      <w:r w:rsidRPr="00851945">
        <w:rPr>
          <w:rFonts w:ascii="Arial" w:eastAsia="Times New Roman" w:hAnsi="Arial" w:cs="Arial"/>
          <w:color w:val="222222"/>
          <w:sz w:val="23"/>
          <w:szCs w:val="23"/>
        </w:rPr>
        <w:t xml:space="preserve"> certain conditions, including holding a "</w:t>
      </w:r>
      <w:r w:rsidRPr="00851945">
        <w:rPr>
          <w:rFonts w:ascii="Arial" w:eastAsia="Times New Roman" w:hAnsi="Arial" w:cs="Arial"/>
          <w:i/>
          <w:iCs/>
          <w:color w:val="222222"/>
          <w:sz w:val="23"/>
          <w:szCs w:val="23"/>
        </w:rPr>
        <w:t>registry identification card,</w:t>
      </w:r>
      <w:r w:rsidRPr="00851945">
        <w:rPr>
          <w:rFonts w:ascii="Arial" w:eastAsia="Times New Roman" w:hAnsi="Arial" w:cs="Arial"/>
          <w:color w:val="222222"/>
          <w:sz w:val="23"/>
          <w:szCs w:val="23"/>
        </w:rPr>
        <w:t>" are satisfied. (Emphases added.) ORS 475.302(10) defines "registry identification card" as follows:</w:t>
      </w:r>
    </w:p>
    <w:p w:rsidR="00851945" w:rsidRPr="00851945" w:rsidRDefault="00851945" w:rsidP="00851945">
      <w:pPr>
        <w:shd w:val="clear" w:color="auto" w:fill="FFFFFF"/>
        <w:spacing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w:t>
      </w:r>
      <w:proofErr w:type="gramStart"/>
      <w:r w:rsidRPr="00851945">
        <w:rPr>
          <w:rFonts w:ascii="Arial" w:eastAsia="Times New Roman" w:hAnsi="Arial" w:cs="Arial"/>
          <w:color w:val="222222"/>
          <w:sz w:val="23"/>
          <w:szCs w:val="23"/>
        </w:rPr>
        <w:t>a</w:t>
      </w:r>
      <w:proofErr w:type="gramEnd"/>
      <w:r w:rsidRPr="00851945">
        <w:rPr>
          <w:rFonts w:ascii="Arial" w:eastAsia="Times New Roman" w:hAnsi="Arial" w:cs="Arial"/>
          <w:color w:val="222222"/>
          <w:sz w:val="23"/>
          <w:szCs w:val="23"/>
        </w:rPr>
        <w:t xml:space="preserve"> document issued by the department that identifies a person </w:t>
      </w:r>
      <w:r w:rsidRPr="00851945">
        <w:rPr>
          <w:rFonts w:ascii="Arial" w:eastAsia="Times New Roman" w:hAnsi="Arial" w:cs="Arial"/>
          <w:i/>
          <w:iCs/>
          <w:color w:val="222222"/>
          <w:sz w:val="23"/>
          <w:szCs w:val="23"/>
        </w:rPr>
        <w:t>authorized</w:t>
      </w:r>
      <w:r w:rsidRPr="00851945">
        <w:rPr>
          <w:rFonts w:ascii="Arial" w:eastAsia="Times New Roman" w:hAnsi="Arial" w:cs="Arial"/>
          <w:color w:val="222222"/>
          <w:sz w:val="23"/>
          <w:szCs w:val="23"/>
        </w:rPr>
        <w:t xml:space="preserve"> to engage in the medical use of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and the person's designated primary caregiver, if any."</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(Emphasis added.)</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lastRenderedPageBreak/>
        <w:t xml:space="preserve">Consider also ORS 475.306(1), the section of the act that the majority finds offending. That subsection references </w:t>
      </w:r>
      <w:proofErr w:type="gramStart"/>
      <w:r w:rsidRPr="00851945">
        <w:rPr>
          <w:rFonts w:ascii="Arial" w:eastAsia="Times New Roman" w:hAnsi="Arial" w:cs="Arial"/>
          <w:color w:val="222222"/>
          <w:sz w:val="23"/>
          <w:szCs w:val="23"/>
        </w:rPr>
        <w:t>both ORS</w:t>
      </w:r>
      <w:proofErr w:type="gramEnd"/>
      <w:r w:rsidRPr="00851945">
        <w:rPr>
          <w:rFonts w:ascii="Arial" w:eastAsia="Times New Roman" w:hAnsi="Arial" w:cs="Arial"/>
          <w:color w:val="222222"/>
          <w:sz w:val="23"/>
          <w:szCs w:val="23"/>
        </w:rPr>
        <w:t xml:space="preserve"> 475.309, the exception section, and the registry identification card necessary to that exception. ORS 475.306(1) provides:</w:t>
      </w:r>
    </w:p>
    <w:p w:rsidR="00851945" w:rsidRPr="00851945" w:rsidRDefault="00851945" w:rsidP="00851945">
      <w:pPr>
        <w:shd w:val="clear" w:color="auto" w:fill="FFFFFF"/>
        <w:spacing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"A person who possesses a </w:t>
      </w:r>
      <w:r w:rsidRPr="00851945">
        <w:rPr>
          <w:rFonts w:ascii="Arial" w:eastAsia="Times New Roman" w:hAnsi="Arial" w:cs="Arial"/>
          <w:i/>
          <w:iCs/>
          <w:color w:val="222222"/>
          <w:sz w:val="23"/>
          <w:szCs w:val="23"/>
        </w:rPr>
        <w:t>registry identification card</w:t>
      </w:r>
      <w:r w:rsidRPr="00851945">
        <w:rPr>
          <w:rFonts w:ascii="Arial" w:eastAsia="Times New Roman" w:hAnsi="Arial" w:cs="Arial"/>
          <w:color w:val="222222"/>
          <w:sz w:val="23"/>
          <w:szCs w:val="23"/>
        </w:rPr>
        <w:t xml:space="preserve"> issued </w:t>
      </w:r>
      <w:r w:rsidRPr="00851945">
        <w:rPr>
          <w:rFonts w:ascii="Arial" w:eastAsia="Times New Roman" w:hAnsi="Arial" w:cs="Arial"/>
          <w:i/>
          <w:iCs/>
          <w:color w:val="222222"/>
          <w:sz w:val="23"/>
          <w:szCs w:val="23"/>
        </w:rPr>
        <w:t>pursuant to ORS 475.309</w:t>
      </w:r>
      <w:r w:rsidRPr="00851945">
        <w:rPr>
          <w:rFonts w:ascii="Arial" w:eastAsia="Times New Roman" w:hAnsi="Arial" w:cs="Arial"/>
          <w:color w:val="222222"/>
          <w:sz w:val="23"/>
          <w:szCs w:val="23"/>
        </w:rPr>
        <w:t xml:space="preserve"> may engage in, and a designated primary caregiver of such person may assist in, the medical use of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only as justified to mitigate the symptoms or effects of the person's debilitating medical condition."</w:t>
      </w:r>
      <w:bookmarkStart w:id="26" w:name="r[27]"/>
      <w:r w:rsidRPr="00851945">
        <w:rPr>
          <w:rFonts w:ascii="Arial" w:eastAsia="Times New Roman" w:hAnsi="Arial" w:cs="Arial"/>
          <w:color w:val="222222"/>
          <w:sz w:val="23"/>
          <w:szCs w:val="23"/>
          <w:vertAlign w:val="superscript"/>
        </w:rPr>
        <w:fldChar w:fldCharType="begin"/>
      </w:r>
      <w:r w:rsidRPr="00851945">
        <w:rPr>
          <w:rFonts w:ascii="Arial" w:eastAsia="Times New Roman" w:hAnsi="Arial" w:cs="Arial"/>
          <w:color w:val="222222"/>
          <w:sz w:val="23"/>
          <w:szCs w:val="23"/>
          <w:vertAlign w:val="superscript"/>
        </w:rPr>
        <w:instrText xml:space="preserve"> HYPERLINK "http://scholar.google.com/scholar_case?case=12394314758738904678&amp;q=emerald+marijuana&amp;hl=en&amp;as_sdt=4,38" \l "[27]" </w:instrText>
      </w:r>
      <w:r w:rsidRPr="00851945">
        <w:rPr>
          <w:rFonts w:ascii="Arial" w:eastAsia="Times New Roman" w:hAnsi="Arial" w:cs="Arial"/>
          <w:color w:val="222222"/>
          <w:sz w:val="23"/>
          <w:szCs w:val="23"/>
          <w:vertAlign w:val="superscript"/>
        </w:rPr>
        <w:fldChar w:fldCharType="separate"/>
      </w:r>
      <w:r w:rsidRPr="00851945">
        <w:rPr>
          <w:rFonts w:ascii="Arial" w:eastAsia="Times New Roman" w:hAnsi="Arial" w:cs="Arial"/>
          <w:color w:val="1A0DAB"/>
          <w:sz w:val="23"/>
          <w:szCs w:val="23"/>
          <w:u w:val="single"/>
          <w:vertAlign w:val="superscript"/>
        </w:rPr>
        <w:t>[4]</w:t>
      </w:r>
      <w:r w:rsidRPr="00851945">
        <w:rPr>
          <w:rFonts w:ascii="Arial" w:eastAsia="Times New Roman" w:hAnsi="Arial" w:cs="Arial"/>
          <w:color w:val="222222"/>
          <w:sz w:val="23"/>
          <w:szCs w:val="23"/>
          <w:vertAlign w:val="superscript"/>
        </w:rPr>
        <w:fldChar w:fldCharType="end"/>
      </w:r>
      <w:bookmarkEnd w:id="26"/>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(Emphasis added.) Reading those three provisions together, it is clear that ORS 475.306(1) serves as a </w:t>
      </w:r>
      <w:r w:rsidRPr="00851945">
        <w:rPr>
          <w:rFonts w:ascii="Arial" w:eastAsia="Times New Roman" w:hAnsi="Arial" w:cs="Arial"/>
          <w:i/>
          <w:iCs/>
          <w:color w:val="222222"/>
          <w:sz w:val="23"/>
          <w:szCs w:val="23"/>
        </w:rPr>
        <w:t>limitation</w:t>
      </w:r>
      <w:r w:rsidRPr="00851945">
        <w:rPr>
          <w:rFonts w:ascii="Arial" w:eastAsia="Times New Roman" w:hAnsi="Arial" w:cs="Arial"/>
          <w:color w:val="222222"/>
          <w:sz w:val="23"/>
          <w:szCs w:val="23"/>
        </w:rPr>
        <w:t xml:space="preserve"> on the use of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that the registry identification card and ORS 475.309 together permit. Under ORS 475.306(1), a person who possesses a registry identification card issued pursuant to ORS 475.309 may engage in the use the card permits "</w:t>
      </w:r>
      <w:r w:rsidRPr="00851945">
        <w:rPr>
          <w:rFonts w:ascii="Arial" w:eastAsia="Times New Roman" w:hAnsi="Arial" w:cs="Arial"/>
          <w:i/>
          <w:iCs/>
          <w:color w:val="222222"/>
          <w:sz w:val="23"/>
          <w:szCs w:val="23"/>
        </w:rPr>
        <w:t>only</w:t>
      </w:r>
      <w:r w:rsidRPr="00851945">
        <w:rPr>
          <w:rFonts w:ascii="Arial" w:eastAsia="Times New Roman" w:hAnsi="Arial" w:cs="Arial"/>
          <w:color w:val="222222"/>
          <w:sz w:val="23"/>
          <w:szCs w:val="23"/>
        </w:rPr>
        <w:t xml:space="preserve"> as justified to mitigate the symptoms or effects of the person's debilitating medical condition." (Emphasis added.)</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ORS 475.319, another section of the act that the majority cites as creating an exemption from criminal liability, also depends on words of permission for its operation. 348 Or. </w:t>
      </w:r>
      <w:proofErr w:type="gramStart"/>
      <w:r w:rsidRPr="00851945">
        <w:rPr>
          <w:rFonts w:ascii="Arial" w:eastAsia="Times New Roman" w:hAnsi="Arial" w:cs="Arial"/>
          <w:color w:val="222222"/>
          <w:sz w:val="23"/>
          <w:szCs w:val="23"/>
        </w:rPr>
        <w:t>at</w:t>
      </w:r>
      <w:proofErr w:type="gramEnd"/>
      <w:r w:rsidRPr="00851945">
        <w:rPr>
          <w:rFonts w:ascii="Arial" w:eastAsia="Times New Roman" w:hAnsi="Arial" w:cs="Arial"/>
          <w:color w:val="222222"/>
          <w:sz w:val="23"/>
          <w:szCs w:val="23"/>
        </w:rPr>
        <w:t xml:space="preserve"> 179-80, 230 P.3d at 530. ORS 475.319 creates an affirmative defense to a criminal charge of possession of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but only for persons who possess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"in amounts </w:t>
      </w:r>
      <w:r w:rsidRPr="00851945">
        <w:rPr>
          <w:rFonts w:ascii="Arial" w:eastAsia="Times New Roman" w:hAnsi="Arial" w:cs="Arial"/>
          <w:i/>
          <w:iCs/>
          <w:color w:val="222222"/>
          <w:sz w:val="23"/>
          <w:szCs w:val="23"/>
        </w:rPr>
        <w:t>permitted</w:t>
      </w:r>
      <w:r w:rsidRPr="00851945">
        <w:rPr>
          <w:rFonts w:ascii="Arial" w:eastAsia="Times New Roman" w:hAnsi="Arial" w:cs="Arial"/>
          <w:color w:val="222222"/>
          <w:sz w:val="23"/>
          <w:szCs w:val="23"/>
        </w:rPr>
        <w:t xml:space="preserve"> under ORS 475.320." (Emphasis added.) ORS 475.320(1</w:t>
      </w:r>
      <w:proofErr w:type="gramStart"/>
      <w:r w:rsidRPr="00851945">
        <w:rPr>
          <w:rFonts w:ascii="Arial" w:eastAsia="Times New Roman" w:hAnsi="Arial" w:cs="Arial"/>
          <w:color w:val="222222"/>
          <w:sz w:val="23"/>
          <w:szCs w:val="23"/>
        </w:rPr>
        <w:t>)(</w:t>
      </w:r>
      <w:proofErr w:type="gramEnd"/>
      <w:r w:rsidRPr="00851945">
        <w:rPr>
          <w:rFonts w:ascii="Arial" w:eastAsia="Times New Roman" w:hAnsi="Arial" w:cs="Arial"/>
          <w:color w:val="222222"/>
          <w:sz w:val="23"/>
          <w:szCs w:val="23"/>
        </w:rPr>
        <w:t xml:space="preserve">a) provides: "A </w:t>
      </w:r>
      <w:r w:rsidRPr="00851945">
        <w:rPr>
          <w:rFonts w:ascii="Arial" w:eastAsia="Times New Roman" w:hAnsi="Arial" w:cs="Arial"/>
          <w:i/>
          <w:iCs/>
          <w:color w:val="222222"/>
          <w:sz w:val="23"/>
          <w:szCs w:val="23"/>
        </w:rPr>
        <w:t>registry identification cardholder * * * may possess</w:t>
      </w:r>
      <w:r w:rsidRPr="00851945">
        <w:rPr>
          <w:rFonts w:ascii="Arial" w:eastAsia="Times New Roman" w:hAnsi="Arial" w:cs="Arial"/>
          <w:color w:val="222222"/>
          <w:sz w:val="23"/>
          <w:szCs w:val="23"/>
        </w:rPr>
        <w:t xml:space="preserve"> up to six mature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plants and 24 ounces of usable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(Emphasis added.)</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The words of authorization used in ORS 475.306(1) are no different from the words of authorization that are used in other sections of the act and that are necessary to effectuate ORS 475.309 and ORS 475.319 and the exceptions to and exemptions from criminal liability that they create. Those words of authorization do not grant permission that would not exist if those words were eliminated or replaced with words of exception or exclusion. Even if it did not use words of permission, the Oregon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Act would permit, for purposes of Oregon law, the conduct that it does not punish. Furthermore, the statutory sections that provide that citizens may, for state law purposes, engage in the conduct that the state will not punish have no effect on the Controlled Substances Act that is greater than the effect of the sections that declare that the state will not punish that conduct.</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Because neither the Oregon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Act nor any subsection thereof gives permission to violate the Controlled Substances Act or affects its enforcement, the Oregon act does not pose an obstacle to the federal act necessitating a finding of implied preemption. In </w:t>
      </w:r>
      <w:hyperlink r:id="rId109" w:history="1">
        <w:r w:rsidRPr="00851945">
          <w:rPr>
            <w:rFonts w:ascii="Arial" w:eastAsia="Times New Roman" w:hAnsi="Arial" w:cs="Arial"/>
            <w:i/>
            <w:iCs/>
            <w:color w:val="1A0DAB"/>
            <w:sz w:val="23"/>
            <w:szCs w:val="23"/>
            <w:u w:val="single"/>
          </w:rPr>
          <w:t>State v. Rodriguez,</w:t>
        </w:r>
        <w:r w:rsidRPr="00851945">
          <w:rPr>
            <w:rFonts w:ascii="Arial" w:eastAsia="Times New Roman" w:hAnsi="Arial" w:cs="Arial"/>
            <w:color w:val="1A0DAB"/>
            <w:sz w:val="23"/>
            <w:szCs w:val="23"/>
            <w:u w:val="single"/>
          </w:rPr>
          <w:t xml:space="preserve"> 317 Or. 27, 854 P.2d 399 (1993),</w:t>
        </w:r>
      </w:hyperlink>
      <w:r w:rsidRPr="00851945">
        <w:rPr>
          <w:rFonts w:ascii="Arial" w:eastAsia="Times New Roman" w:hAnsi="Arial" w:cs="Arial"/>
          <w:color w:val="222222"/>
          <w:sz w:val="23"/>
          <w:szCs w:val="23"/>
        </w:rPr>
        <w:t xml:space="preserve"> this court recognized </w:t>
      </w:r>
      <w:hyperlink r:id="rId110" w:anchor="p540" w:history="1">
        <w:r w:rsidRPr="00851945">
          <w:rPr>
            <w:rFonts w:ascii="Arial" w:eastAsia="Times New Roman" w:hAnsi="Arial" w:cs="Arial"/>
            <w:color w:val="AAAAAA"/>
            <w:sz w:val="20"/>
            <w:szCs w:val="20"/>
            <w:shd w:val="clear" w:color="auto" w:fill="FFFFFF"/>
          </w:rPr>
          <w:t>540</w:t>
        </w:r>
      </w:hyperlink>
      <w:hyperlink r:id="rId111" w:anchor="p540" w:history="1">
        <w:r w:rsidRPr="00851945">
          <w:rPr>
            <w:rFonts w:ascii="Arial" w:eastAsia="Times New Roman" w:hAnsi="Arial" w:cs="Arial"/>
            <w:color w:val="AAAAAA"/>
            <w:sz w:val="20"/>
            <w:szCs w:val="20"/>
          </w:rPr>
          <w:t>*540</w:t>
        </w:r>
      </w:hyperlink>
      <w:r w:rsidRPr="00851945">
        <w:rPr>
          <w:rFonts w:ascii="Arial" w:eastAsia="Times New Roman" w:hAnsi="Arial" w:cs="Arial"/>
          <w:color w:val="222222"/>
          <w:sz w:val="23"/>
          <w:szCs w:val="23"/>
        </w:rPr>
        <w:t xml:space="preserve"> that state and federal laws can prescribe different standards, each acting within its own authority, without affecting the other's authority, and without offending the Supremacy Clause. In that case, the defendant had been arrested by federal immigration agents on a warrant that the state conceded did not satisfy the oath or affirmation requirement of Article I, section 9, of the Oregon Constitution. The state argued, however, that, because the warrant was valid under federal law, "the Supremacy Clause render[</w:t>
      </w:r>
      <w:proofErr w:type="spellStart"/>
      <w:proofErr w:type="gramStart"/>
      <w:r w:rsidRPr="00851945">
        <w:rPr>
          <w:rFonts w:ascii="Arial" w:eastAsia="Times New Roman" w:hAnsi="Arial" w:cs="Arial"/>
          <w:color w:val="222222"/>
          <w:sz w:val="23"/>
          <w:szCs w:val="23"/>
        </w:rPr>
        <w:t>ed</w:t>
      </w:r>
      <w:proofErr w:type="spellEnd"/>
      <w:proofErr w:type="gramEnd"/>
      <w:r w:rsidRPr="00851945">
        <w:rPr>
          <w:rFonts w:ascii="Arial" w:eastAsia="Times New Roman" w:hAnsi="Arial" w:cs="Arial"/>
          <w:color w:val="222222"/>
          <w:sz w:val="23"/>
          <w:szCs w:val="23"/>
        </w:rPr>
        <w:t xml:space="preserve">] Article I, section 9, inapplicable to the arrest * * *." </w:t>
      </w:r>
      <w:r w:rsidRPr="00851945">
        <w:rPr>
          <w:rFonts w:ascii="Arial" w:eastAsia="Times New Roman" w:hAnsi="Arial" w:cs="Arial"/>
          <w:i/>
          <w:iCs/>
          <w:color w:val="222222"/>
          <w:sz w:val="23"/>
          <w:szCs w:val="23"/>
        </w:rPr>
        <w:t>Id.</w:t>
      </w:r>
      <w:r w:rsidRPr="00851945">
        <w:rPr>
          <w:rFonts w:ascii="Arial" w:eastAsia="Times New Roman" w:hAnsi="Arial" w:cs="Arial"/>
          <w:color w:val="222222"/>
          <w:sz w:val="23"/>
          <w:szCs w:val="23"/>
        </w:rPr>
        <w:t xml:space="preserve"> at 34, </w:t>
      </w:r>
      <w:proofErr w:type="gramStart"/>
      <w:r w:rsidRPr="00851945">
        <w:rPr>
          <w:rFonts w:ascii="Arial" w:eastAsia="Times New Roman" w:hAnsi="Arial" w:cs="Arial"/>
          <w:color w:val="222222"/>
          <w:sz w:val="23"/>
          <w:szCs w:val="23"/>
        </w:rPr>
        <w:t>854 P.2d 399</w:t>
      </w:r>
      <w:proofErr w:type="gramEnd"/>
      <w:r w:rsidRPr="00851945">
        <w:rPr>
          <w:rFonts w:ascii="Arial" w:eastAsia="Times New Roman" w:hAnsi="Arial" w:cs="Arial"/>
          <w:color w:val="222222"/>
          <w:sz w:val="23"/>
          <w:szCs w:val="23"/>
        </w:rPr>
        <w:t xml:space="preserve">. The court rejected that argument and concluded that preemption was not at issue because the application of the state constitutional requirements for an arrest warrant did not "affect the ability of the federal </w:t>
      </w:r>
      <w:r w:rsidRPr="00851945">
        <w:rPr>
          <w:rFonts w:ascii="Arial" w:eastAsia="Times New Roman" w:hAnsi="Arial" w:cs="Arial"/>
          <w:color w:val="222222"/>
          <w:sz w:val="23"/>
          <w:szCs w:val="23"/>
        </w:rPr>
        <w:lastRenderedPageBreak/>
        <w:t xml:space="preserve">government to administer or enforce its * * * laws." </w:t>
      </w:r>
      <w:r w:rsidRPr="00851945">
        <w:rPr>
          <w:rFonts w:ascii="Arial" w:eastAsia="Times New Roman" w:hAnsi="Arial" w:cs="Arial"/>
          <w:i/>
          <w:iCs/>
          <w:color w:val="222222"/>
          <w:sz w:val="23"/>
          <w:szCs w:val="23"/>
        </w:rPr>
        <w:t>Id.</w:t>
      </w:r>
      <w:r w:rsidRPr="00851945">
        <w:rPr>
          <w:rFonts w:ascii="Arial" w:eastAsia="Times New Roman" w:hAnsi="Arial" w:cs="Arial"/>
          <w:color w:val="222222"/>
          <w:sz w:val="23"/>
          <w:szCs w:val="23"/>
        </w:rPr>
        <w:t xml:space="preserve"> at 36, </w:t>
      </w:r>
      <w:proofErr w:type="gramStart"/>
      <w:r w:rsidRPr="00851945">
        <w:rPr>
          <w:rFonts w:ascii="Arial" w:eastAsia="Times New Roman" w:hAnsi="Arial" w:cs="Arial"/>
          <w:color w:val="222222"/>
          <w:sz w:val="23"/>
          <w:szCs w:val="23"/>
        </w:rPr>
        <w:t>854 P.2d 399</w:t>
      </w:r>
      <w:proofErr w:type="gramEnd"/>
      <w:r w:rsidRPr="00851945">
        <w:rPr>
          <w:rFonts w:ascii="Arial" w:eastAsia="Times New Roman" w:hAnsi="Arial" w:cs="Arial"/>
          <w:color w:val="222222"/>
          <w:sz w:val="23"/>
          <w:szCs w:val="23"/>
        </w:rPr>
        <w:t>. Because the court interpreted the state constitution not to impose requirements on arrests by federal officers, the state and the federal law did not conflict:</w:t>
      </w:r>
    </w:p>
    <w:p w:rsidR="00851945" w:rsidRPr="00851945" w:rsidRDefault="00851945" w:rsidP="00851945">
      <w:pPr>
        <w:shd w:val="clear" w:color="auto" w:fill="FFFFFF"/>
        <w:spacing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"Because this court's interpretation of Article I, section 9, in this context, cannot and will not interfere with the federal government in immigration matters, the Supremacy Clause has no bearing on this case and this court is not `preempted' from applying Article I, section 9, to defendant's arrest."</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i/>
          <w:iCs/>
          <w:color w:val="222222"/>
          <w:sz w:val="23"/>
          <w:szCs w:val="23"/>
        </w:rPr>
        <w:t>Id.</w:t>
      </w:r>
      <w:r w:rsidRPr="00851945">
        <w:rPr>
          <w:rFonts w:ascii="Arial" w:eastAsia="Times New Roman" w:hAnsi="Arial" w:cs="Arial"/>
          <w:color w:val="222222"/>
          <w:sz w:val="23"/>
          <w:szCs w:val="23"/>
        </w:rPr>
        <w:t xml:space="preserve"> Similarly, the Oregon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Act "cannot and will not interfere with" the federal government's enforcement of the Controlled Substances Act and does not offend the Supremacy Clause.</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Instead of following </w:t>
      </w:r>
      <w:r w:rsidRPr="00851945">
        <w:rPr>
          <w:rFonts w:ascii="Arial" w:eastAsia="Times New Roman" w:hAnsi="Arial" w:cs="Arial"/>
          <w:i/>
          <w:iCs/>
          <w:color w:val="222222"/>
          <w:sz w:val="23"/>
          <w:szCs w:val="23"/>
        </w:rPr>
        <w:t>Rodriguez,</w:t>
      </w:r>
      <w:r w:rsidRPr="00851945">
        <w:rPr>
          <w:rFonts w:ascii="Arial" w:eastAsia="Times New Roman" w:hAnsi="Arial" w:cs="Arial"/>
          <w:color w:val="222222"/>
          <w:sz w:val="23"/>
          <w:szCs w:val="23"/>
        </w:rPr>
        <w:t xml:space="preserve"> the majority relies on two United States Supreme Court cases for the proposition that state law that permits what federal law prohibits is impliedly preempted. 348 Or. </w:t>
      </w:r>
      <w:proofErr w:type="gramStart"/>
      <w:r w:rsidRPr="00851945">
        <w:rPr>
          <w:rFonts w:ascii="Arial" w:eastAsia="Times New Roman" w:hAnsi="Arial" w:cs="Arial"/>
          <w:color w:val="222222"/>
          <w:sz w:val="23"/>
          <w:szCs w:val="23"/>
        </w:rPr>
        <w:t>at</w:t>
      </w:r>
      <w:proofErr w:type="gramEnd"/>
      <w:r w:rsidRPr="00851945">
        <w:rPr>
          <w:rFonts w:ascii="Arial" w:eastAsia="Times New Roman" w:hAnsi="Arial" w:cs="Arial"/>
          <w:color w:val="222222"/>
          <w:sz w:val="23"/>
          <w:szCs w:val="23"/>
        </w:rPr>
        <w:t xml:space="preserve"> 176-77, 230 P.3d at 528-29. The majority then concludes that, "[t]o the extent that ORS 475.306(1) affirmatively authorizes the use of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federal law preempts that subsection, leaving it `without effect.'" 348 Or. </w:t>
      </w:r>
      <w:proofErr w:type="gramStart"/>
      <w:r w:rsidRPr="00851945">
        <w:rPr>
          <w:rFonts w:ascii="Arial" w:eastAsia="Times New Roman" w:hAnsi="Arial" w:cs="Arial"/>
          <w:color w:val="222222"/>
          <w:sz w:val="23"/>
          <w:szCs w:val="23"/>
        </w:rPr>
        <w:t>at</w:t>
      </w:r>
      <w:proofErr w:type="gramEnd"/>
      <w:r w:rsidRPr="00851945">
        <w:rPr>
          <w:rFonts w:ascii="Arial" w:eastAsia="Times New Roman" w:hAnsi="Arial" w:cs="Arial"/>
          <w:color w:val="222222"/>
          <w:sz w:val="23"/>
          <w:szCs w:val="23"/>
        </w:rPr>
        <w:t xml:space="preserve"> 178, 230 P.3d at 529. I disagree with the majority's analysis for two reasons. First, the cases that the majority cites stand only for the proposition that when federal law bestows an unlimited power or right, state law cannot preclude the exercise of that power or right. The Controlled Substances Act does not create a right; it prohibits certain conduct. Second, other Supreme Court cases hold that when a federal law does not create powers or rights but, instead, sets standards for conduct, state law may set different standards for the same conduct without offending the Supremacy Clause, as long as both sets of laws may be enforced. By deciding not to punish the medical use of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the Oregon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Act authorizes, for state law purposes, conduct that the Controlled Substances Act prohibits. The Oregon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Act does not, however, offend the Supremacy Clause because it does not affect enforcement of the Controlled Substances Act.</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In the first of the two cases on which the majority relies, </w:t>
      </w:r>
      <w:hyperlink r:id="rId112" w:history="1">
        <w:r w:rsidRPr="00851945">
          <w:rPr>
            <w:rFonts w:ascii="Arial" w:eastAsia="Times New Roman" w:hAnsi="Arial" w:cs="Arial"/>
            <w:i/>
            <w:iCs/>
            <w:color w:val="1A0DAB"/>
            <w:sz w:val="23"/>
            <w:szCs w:val="23"/>
            <w:u w:val="single"/>
          </w:rPr>
          <w:t>Barnett Bank v. Nelson,</w:t>
        </w:r>
        <w:r w:rsidRPr="00851945">
          <w:rPr>
            <w:rFonts w:ascii="Arial" w:eastAsia="Times New Roman" w:hAnsi="Arial" w:cs="Arial"/>
            <w:color w:val="1A0DAB"/>
            <w:sz w:val="23"/>
            <w:szCs w:val="23"/>
            <w:u w:val="single"/>
          </w:rPr>
          <w:t xml:space="preserve"> 517 U.S. 25, 116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1103, 134 L.Ed.2d 237 (1996),</w:t>
        </w:r>
      </w:hyperlink>
      <w:r w:rsidRPr="00851945">
        <w:rPr>
          <w:rFonts w:ascii="Arial" w:eastAsia="Times New Roman" w:hAnsi="Arial" w:cs="Arial"/>
          <w:color w:val="222222"/>
          <w:sz w:val="23"/>
          <w:szCs w:val="23"/>
        </w:rPr>
        <w:t xml:space="preserve"> a federal statute explicitly granted national banks the unlimited power to sell insurance in small towns. A state statute forbade and impaired the exercise of that power, and the court held that it was preempted.</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hyperlink r:id="rId113" w:history="1">
        <w:r w:rsidRPr="00851945">
          <w:rPr>
            <w:rFonts w:ascii="Arial" w:eastAsia="Times New Roman" w:hAnsi="Arial" w:cs="Arial"/>
            <w:i/>
            <w:iCs/>
            <w:color w:val="1A0DAB"/>
            <w:sz w:val="23"/>
            <w:szCs w:val="23"/>
            <w:u w:val="single"/>
          </w:rPr>
          <w:t>Michigan Canners &amp; Freezers Association v. Agricultural Marketing and Bargaining Bd.,</w:t>
        </w:r>
        <w:r w:rsidRPr="00851945">
          <w:rPr>
            <w:rFonts w:ascii="Arial" w:eastAsia="Times New Roman" w:hAnsi="Arial" w:cs="Arial"/>
            <w:color w:val="1A0DAB"/>
            <w:sz w:val="23"/>
            <w:szCs w:val="23"/>
            <w:u w:val="single"/>
          </w:rPr>
          <w:t xml:space="preserve"> 467 U.S. 461, 104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2518, 81 L.Ed.2d 399 (1984),</w:t>
        </w:r>
      </w:hyperlink>
      <w:r w:rsidRPr="00851945">
        <w:rPr>
          <w:rFonts w:ascii="Arial" w:eastAsia="Times New Roman" w:hAnsi="Arial" w:cs="Arial"/>
          <w:color w:val="222222"/>
          <w:sz w:val="23"/>
          <w:szCs w:val="23"/>
        </w:rPr>
        <w:t xml:space="preserve"> the second case on which the majority relies, concerned a conflict between the federal Agricultural Fair Practices Act, which protects the rights of producers of agricultural goods to remain independent and to bring their products to market on their own without being required to sell those products through an association, and a Michigan statute. </w:t>
      </w:r>
      <w:r w:rsidRPr="00851945">
        <w:rPr>
          <w:rFonts w:ascii="Arial" w:eastAsia="Times New Roman" w:hAnsi="Arial" w:cs="Arial"/>
          <w:i/>
          <w:iCs/>
          <w:color w:val="222222"/>
          <w:sz w:val="23"/>
          <w:szCs w:val="23"/>
        </w:rPr>
        <w:t>Id.</w:t>
      </w:r>
      <w:r w:rsidRPr="00851945">
        <w:rPr>
          <w:rFonts w:ascii="Arial" w:eastAsia="Times New Roman" w:hAnsi="Arial" w:cs="Arial"/>
          <w:color w:val="222222"/>
          <w:sz w:val="23"/>
          <w:szCs w:val="23"/>
        </w:rPr>
        <w:t xml:space="preserve"> at 473, 104 </w:t>
      </w:r>
      <w:proofErr w:type="spellStart"/>
      <w:r w:rsidRPr="00851945">
        <w:rPr>
          <w:rFonts w:ascii="Arial" w:eastAsia="Times New Roman" w:hAnsi="Arial" w:cs="Arial"/>
          <w:color w:val="222222"/>
          <w:sz w:val="23"/>
          <w:szCs w:val="23"/>
        </w:rPr>
        <w:t>S.Ct</w:t>
      </w:r>
      <w:proofErr w:type="spellEnd"/>
      <w:r w:rsidRPr="00851945">
        <w:rPr>
          <w:rFonts w:ascii="Arial" w:eastAsia="Times New Roman" w:hAnsi="Arial" w:cs="Arial"/>
          <w:color w:val="222222"/>
          <w:sz w:val="23"/>
          <w:szCs w:val="23"/>
        </w:rPr>
        <w:t xml:space="preserve">. 2518. As the court explained in </w:t>
      </w:r>
      <w:hyperlink r:id="rId114" w:history="1">
        <w:r w:rsidRPr="00851945">
          <w:rPr>
            <w:rFonts w:ascii="Arial" w:eastAsia="Times New Roman" w:hAnsi="Arial" w:cs="Arial"/>
            <w:i/>
            <w:iCs/>
            <w:color w:val="1A0DAB"/>
            <w:sz w:val="23"/>
            <w:szCs w:val="23"/>
            <w:u w:val="single"/>
          </w:rPr>
          <w:t>Massachusetts Medical Soc. v. Dukakis,</w:t>
        </w:r>
        <w:r w:rsidRPr="00851945">
          <w:rPr>
            <w:rFonts w:ascii="Arial" w:eastAsia="Times New Roman" w:hAnsi="Arial" w:cs="Arial"/>
            <w:color w:val="1A0DAB"/>
            <w:sz w:val="23"/>
            <w:szCs w:val="23"/>
            <w:u w:val="single"/>
          </w:rPr>
          <w:t xml:space="preserve"> 815 F.2d 790, 796 (1st Cir.),</w:t>
        </w:r>
      </w:hyperlink>
      <w:r w:rsidRPr="00851945">
        <w:rPr>
          <w:rFonts w:ascii="Arial" w:eastAsia="Times New Roman" w:hAnsi="Arial" w:cs="Arial"/>
          <w:color w:val="222222"/>
          <w:sz w:val="23"/>
          <w:szCs w:val="23"/>
        </w:rPr>
        <w:t xml:space="preserve"> </w:t>
      </w:r>
      <w:r w:rsidRPr="00851945">
        <w:rPr>
          <w:rFonts w:ascii="Arial" w:eastAsia="Times New Roman" w:hAnsi="Arial" w:cs="Arial"/>
          <w:i/>
          <w:iCs/>
          <w:color w:val="222222"/>
          <w:sz w:val="23"/>
          <w:szCs w:val="23"/>
        </w:rPr>
        <w:t>cert. den.,</w:t>
      </w:r>
      <w:r w:rsidRPr="00851945">
        <w:rPr>
          <w:rFonts w:ascii="Arial" w:eastAsia="Times New Roman" w:hAnsi="Arial" w:cs="Arial"/>
          <w:color w:val="222222"/>
          <w:sz w:val="23"/>
          <w:szCs w:val="23"/>
        </w:rPr>
        <w:t xml:space="preserve"> </w:t>
      </w:r>
      <w:hyperlink r:id="rId115" w:history="1">
        <w:r w:rsidRPr="00851945">
          <w:rPr>
            <w:rFonts w:ascii="Arial" w:eastAsia="Times New Roman" w:hAnsi="Arial" w:cs="Arial"/>
            <w:color w:val="1A0DAB"/>
            <w:sz w:val="23"/>
            <w:szCs w:val="23"/>
            <w:u w:val="single"/>
          </w:rPr>
          <w:t xml:space="preserve">484 U.S. 896, 108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229, 98 L.Ed.2d 188 (1987),</w:t>
        </w:r>
      </w:hyperlink>
      <w:r w:rsidRPr="00851945">
        <w:rPr>
          <w:rFonts w:ascii="Arial" w:eastAsia="Times New Roman" w:hAnsi="Arial" w:cs="Arial"/>
          <w:color w:val="222222"/>
          <w:sz w:val="23"/>
          <w:szCs w:val="23"/>
        </w:rPr>
        <w:t xml:space="preserve"> the Agricultural Fair Practice Act creates a "right to refrain from joining an association of producers[.]" (Ellipses omitted.) The Michigan statute at issue prevented the exercise of the right conferred by the act by precluding an agricultural producer "from marketing his goods himself" and "</w:t>
      </w:r>
      <w:proofErr w:type="spellStart"/>
      <w:r w:rsidRPr="00851945">
        <w:rPr>
          <w:rFonts w:ascii="Arial" w:eastAsia="Times New Roman" w:hAnsi="Arial" w:cs="Arial"/>
          <w:color w:val="222222"/>
          <w:sz w:val="23"/>
          <w:szCs w:val="23"/>
        </w:rPr>
        <w:t>impos</w:t>
      </w:r>
      <w:proofErr w:type="spellEnd"/>
      <w:r w:rsidRPr="00851945">
        <w:rPr>
          <w:rFonts w:ascii="Arial" w:eastAsia="Times New Roman" w:hAnsi="Arial" w:cs="Arial"/>
          <w:color w:val="222222"/>
          <w:sz w:val="23"/>
          <w:szCs w:val="23"/>
        </w:rPr>
        <w:t>[</w:t>
      </w:r>
      <w:proofErr w:type="spellStart"/>
      <w:r w:rsidRPr="00851945">
        <w:rPr>
          <w:rFonts w:ascii="Arial" w:eastAsia="Times New Roman" w:hAnsi="Arial" w:cs="Arial"/>
          <w:color w:val="222222"/>
          <w:sz w:val="23"/>
          <w:szCs w:val="23"/>
        </w:rPr>
        <w:t>ed</w:t>
      </w:r>
      <w:proofErr w:type="spellEnd"/>
      <w:r w:rsidRPr="00851945">
        <w:rPr>
          <w:rFonts w:ascii="Arial" w:eastAsia="Times New Roman" w:hAnsi="Arial" w:cs="Arial"/>
          <w:color w:val="222222"/>
          <w:sz w:val="23"/>
          <w:szCs w:val="23"/>
        </w:rPr>
        <w:t xml:space="preserve">] on the producer the same incidents of association membership with which Congress was concerned * * *." </w:t>
      </w:r>
      <w:hyperlink r:id="rId116" w:anchor="p541" w:history="1">
        <w:r w:rsidRPr="00851945">
          <w:rPr>
            <w:rFonts w:ascii="Arial" w:eastAsia="Times New Roman" w:hAnsi="Arial" w:cs="Arial"/>
            <w:color w:val="AAAAAA"/>
            <w:sz w:val="20"/>
            <w:szCs w:val="20"/>
            <w:shd w:val="clear" w:color="auto" w:fill="FFFFFF"/>
          </w:rPr>
          <w:t>541</w:t>
        </w:r>
      </w:hyperlink>
      <w:hyperlink r:id="rId117" w:anchor="p541" w:history="1">
        <w:r w:rsidRPr="00851945">
          <w:rPr>
            <w:rFonts w:ascii="Arial" w:eastAsia="Times New Roman" w:hAnsi="Arial" w:cs="Arial"/>
            <w:color w:val="AAAAAA"/>
            <w:sz w:val="20"/>
            <w:szCs w:val="20"/>
          </w:rPr>
          <w:t>*541</w:t>
        </w:r>
      </w:hyperlink>
      <w:r w:rsidRPr="00851945">
        <w:rPr>
          <w:rFonts w:ascii="Arial" w:eastAsia="Times New Roman" w:hAnsi="Arial" w:cs="Arial"/>
          <w:color w:val="222222"/>
          <w:sz w:val="23"/>
          <w:szCs w:val="23"/>
        </w:rPr>
        <w:t xml:space="preserve"> </w:t>
      </w:r>
      <w:hyperlink r:id="rId118" w:history="1">
        <w:r w:rsidRPr="00851945">
          <w:rPr>
            <w:rFonts w:ascii="Arial" w:eastAsia="Times New Roman" w:hAnsi="Arial" w:cs="Arial"/>
            <w:i/>
            <w:iCs/>
            <w:color w:val="1A0DAB"/>
            <w:sz w:val="23"/>
            <w:szCs w:val="23"/>
            <w:u w:val="single"/>
          </w:rPr>
          <w:t>Michigan Canners,</w:t>
        </w:r>
        <w:r w:rsidRPr="00851945">
          <w:rPr>
            <w:rFonts w:ascii="Arial" w:eastAsia="Times New Roman" w:hAnsi="Arial" w:cs="Arial"/>
            <w:color w:val="1A0DAB"/>
            <w:sz w:val="23"/>
            <w:szCs w:val="23"/>
            <w:u w:val="single"/>
          </w:rPr>
          <w:t xml:space="preserve"> 467 U.S. at 478, 104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2518</w:t>
        </w:r>
      </w:hyperlink>
      <w:r w:rsidRPr="00851945">
        <w:rPr>
          <w:rFonts w:ascii="Arial" w:eastAsia="Times New Roman" w:hAnsi="Arial" w:cs="Arial"/>
          <w:color w:val="222222"/>
          <w:sz w:val="23"/>
          <w:szCs w:val="23"/>
        </w:rPr>
        <w:t>. The Court held that under those circumstances, the state statute was preempted.</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Neither </w:t>
      </w:r>
      <w:r w:rsidRPr="00851945">
        <w:rPr>
          <w:rFonts w:ascii="Arial" w:eastAsia="Times New Roman" w:hAnsi="Arial" w:cs="Arial"/>
          <w:i/>
          <w:iCs/>
          <w:color w:val="222222"/>
          <w:sz w:val="23"/>
          <w:szCs w:val="23"/>
        </w:rPr>
        <w:t>Barnett</w:t>
      </w:r>
      <w:r w:rsidRPr="00851945">
        <w:rPr>
          <w:rFonts w:ascii="Arial" w:eastAsia="Times New Roman" w:hAnsi="Arial" w:cs="Arial"/>
          <w:color w:val="222222"/>
          <w:sz w:val="23"/>
          <w:szCs w:val="23"/>
        </w:rPr>
        <w:t xml:space="preserve"> nor </w:t>
      </w:r>
      <w:r w:rsidRPr="00851945">
        <w:rPr>
          <w:rFonts w:ascii="Arial" w:eastAsia="Times New Roman" w:hAnsi="Arial" w:cs="Arial"/>
          <w:i/>
          <w:iCs/>
          <w:color w:val="222222"/>
          <w:sz w:val="23"/>
          <w:szCs w:val="23"/>
        </w:rPr>
        <w:t>Michigan Canners</w:t>
      </w:r>
      <w:r w:rsidRPr="00851945">
        <w:rPr>
          <w:rFonts w:ascii="Arial" w:eastAsia="Times New Roman" w:hAnsi="Arial" w:cs="Arial"/>
          <w:color w:val="222222"/>
          <w:sz w:val="23"/>
          <w:szCs w:val="23"/>
        </w:rPr>
        <w:t xml:space="preserve"> stands for the proposition that a state statute that permits conduct that the federal government punishes is preempted. In those cases, the federal statutes did not punish conduct; they created powers or rights. The Court therefore struck down state statutes that forbade, impaired or prevented exercise of those powers or rights. Because the Controlled Substances Act does not create a federal power or right and the Oregon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Act does not forbid, impair, or prevent the exercise of a federal power or right, </w:t>
      </w:r>
      <w:r w:rsidRPr="00851945">
        <w:rPr>
          <w:rFonts w:ascii="Arial" w:eastAsia="Times New Roman" w:hAnsi="Arial" w:cs="Arial"/>
          <w:i/>
          <w:iCs/>
          <w:color w:val="222222"/>
          <w:sz w:val="23"/>
          <w:szCs w:val="23"/>
        </w:rPr>
        <w:t>Barnett</w:t>
      </w:r>
      <w:r w:rsidRPr="00851945">
        <w:rPr>
          <w:rFonts w:ascii="Arial" w:eastAsia="Times New Roman" w:hAnsi="Arial" w:cs="Arial"/>
          <w:color w:val="222222"/>
          <w:sz w:val="23"/>
          <w:szCs w:val="23"/>
        </w:rPr>
        <w:t xml:space="preserve"> and </w:t>
      </w:r>
      <w:r w:rsidRPr="00851945">
        <w:rPr>
          <w:rFonts w:ascii="Arial" w:eastAsia="Times New Roman" w:hAnsi="Arial" w:cs="Arial"/>
          <w:i/>
          <w:iCs/>
          <w:color w:val="222222"/>
          <w:sz w:val="23"/>
          <w:szCs w:val="23"/>
        </w:rPr>
        <w:t>Michigan Canners</w:t>
      </w:r>
      <w:r w:rsidRPr="00851945">
        <w:rPr>
          <w:rFonts w:ascii="Arial" w:eastAsia="Times New Roman" w:hAnsi="Arial" w:cs="Arial"/>
          <w:color w:val="222222"/>
          <w:sz w:val="23"/>
          <w:szCs w:val="23"/>
        </w:rPr>
        <w:t xml:space="preserve"> are inapposite. The more relevant Supreme Court cases are those that consider the circumstance that exists when federal and state laws impose different standards of conduct. Those cases stand for the proposition that states may impose standards of conduct different from those imposed by a federal law without creating an obstacle to the federal law.</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In </w:t>
      </w:r>
      <w:hyperlink r:id="rId119" w:history="1">
        <w:r w:rsidRPr="00851945">
          <w:rPr>
            <w:rFonts w:ascii="Arial" w:eastAsia="Times New Roman" w:hAnsi="Arial" w:cs="Arial"/>
            <w:i/>
            <w:iCs/>
            <w:color w:val="1A0DAB"/>
            <w:sz w:val="23"/>
            <w:szCs w:val="23"/>
            <w:u w:val="single"/>
          </w:rPr>
          <w:t>California v. ARC America Corp.,</w:t>
        </w:r>
        <w:r w:rsidRPr="00851945">
          <w:rPr>
            <w:rFonts w:ascii="Arial" w:eastAsia="Times New Roman" w:hAnsi="Arial" w:cs="Arial"/>
            <w:color w:val="1A0DAB"/>
            <w:sz w:val="23"/>
            <w:szCs w:val="23"/>
            <w:u w:val="single"/>
          </w:rPr>
          <w:t xml:space="preserve"> 490 U.S. 93, 109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1661, 104 L.Ed.2d 86 (1989),</w:t>
        </w:r>
      </w:hyperlink>
      <w:r w:rsidRPr="00851945">
        <w:rPr>
          <w:rFonts w:ascii="Arial" w:eastAsia="Times New Roman" w:hAnsi="Arial" w:cs="Arial"/>
          <w:color w:val="222222"/>
          <w:sz w:val="23"/>
          <w:szCs w:val="23"/>
        </w:rPr>
        <w:t xml:space="preserve"> the Court considered, under the "obstacle prong" of its "actual conflict" implied preemption analysis, the conflict between Section 4 of the federal Clayton Act, which authorizes only direct purchasers to recover monopoly overcharges, and a state statute, which expressly permits recovery by indirect purchasers. The Supreme Court held that, even if the state statute directly conflicted with the goals of the federal law, as the Ninth Circuit had held, the state statute was not preempted. The Supreme Court reasoned that states are not required to pursue federal goals when enacting their own laws:</w:t>
      </w:r>
    </w:p>
    <w:p w:rsidR="00851945" w:rsidRPr="00851945" w:rsidRDefault="00851945" w:rsidP="00851945">
      <w:pPr>
        <w:shd w:val="clear" w:color="auto" w:fill="FFFFFF"/>
        <w:spacing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"It is one thing to consider the congressional policies identified in </w:t>
      </w:r>
      <w:r w:rsidRPr="00851945">
        <w:rPr>
          <w:rFonts w:ascii="Arial" w:eastAsia="Times New Roman" w:hAnsi="Arial" w:cs="Arial"/>
          <w:i/>
          <w:iCs/>
          <w:color w:val="222222"/>
          <w:sz w:val="23"/>
          <w:szCs w:val="23"/>
        </w:rPr>
        <w:t>Illinois Brick</w:t>
      </w:r>
      <w:r w:rsidRPr="00851945">
        <w:rPr>
          <w:rFonts w:ascii="Arial" w:eastAsia="Times New Roman" w:hAnsi="Arial" w:cs="Arial"/>
          <w:color w:val="222222"/>
          <w:sz w:val="23"/>
          <w:szCs w:val="23"/>
        </w:rPr>
        <w:t xml:space="preserve"> [</w:t>
      </w:r>
      <w:r w:rsidRPr="00851945">
        <w:rPr>
          <w:rFonts w:ascii="Arial" w:eastAsia="Times New Roman" w:hAnsi="Arial" w:cs="Arial"/>
          <w:i/>
          <w:iCs/>
          <w:color w:val="222222"/>
          <w:sz w:val="23"/>
          <w:szCs w:val="23"/>
        </w:rPr>
        <w:t>v. State of Illinois,</w:t>
      </w:r>
      <w:r w:rsidRPr="00851945">
        <w:rPr>
          <w:rFonts w:ascii="Arial" w:eastAsia="Times New Roman" w:hAnsi="Arial" w:cs="Arial"/>
          <w:color w:val="222222"/>
          <w:sz w:val="23"/>
          <w:szCs w:val="23"/>
        </w:rPr>
        <w:t xml:space="preserve"> 431 U.S. 720, 97 </w:t>
      </w:r>
      <w:proofErr w:type="spellStart"/>
      <w:r w:rsidRPr="00851945">
        <w:rPr>
          <w:rFonts w:ascii="Arial" w:eastAsia="Times New Roman" w:hAnsi="Arial" w:cs="Arial"/>
          <w:color w:val="222222"/>
          <w:sz w:val="23"/>
          <w:szCs w:val="23"/>
        </w:rPr>
        <w:t>S.Ct</w:t>
      </w:r>
      <w:proofErr w:type="spellEnd"/>
      <w:r w:rsidRPr="00851945">
        <w:rPr>
          <w:rFonts w:ascii="Arial" w:eastAsia="Times New Roman" w:hAnsi="Arial" w:cs="Arial"/>
          <w:color w:val="222222"/>
          <w:sz w:val="23"/>
          <w:szCs w:val="23"/>
        </w:rPr>
        <w:t xml:space="preserve">. 2061, 52 L.Ed.2d 707 (1977)] and </w:t>
      </w:r>
      <w:r w:rsidRPr="00851945">
        <w:rPr>
          <w:rFonts w:ascii="Arial" w:eastAsia="Times New Roman" w:hAnsi="Arial" w:cs="Arial"/>
          <w:i/>
          <w:iCs/>
          <w:color w:val="222222"/>
          <w:sz w:val="23"/>
          <w:szCs w:val="23"/>
        </w:rPr>
        <w:t>Hanover Shoe</w:t>
      </w:r>
      <w:r w:rsidRPr="00851945">
        <w:rPr>
          <w:rFonts w:ascii="Arial" w:eastAsia="Times New Roman" w:hAnsi="Arial" w:cs="Arial"/>
          <w:color w:val="222222"/>
          <w:sz w:val="23"/>
          <w:szCs w:val="23"/>
        </w:rPr>
        <w:t xml:space="preserve"> [</w:t>
      </w:r>
      <w:r w:rsidRPr="00851945">
        <w:rPr>
          <w:rFonts w:ascii="Arial" w:eastAsia="Times New Roman" w:hAnsi="Arial" w:cs="Arial"/>
          <w:i/>
          <w:iCs/>
          <w:color w:val="222222"/>
          <w:sz w:val="23"/>
          <w:szCs w:val="23"/>
        </w:rPr>
        <w:t>v. United Shoe Machinery Corp.,</w:t>
      </w:r>
      <w:r w:rsidRPr="00851945">
        <w:rPr>
          <w:rFonts w:ascii="Arial" w:eastAsia="Times New Roman" w:hAnsi="Arial" w:cs="Arial"/>
          <w:color w:val="222222"/>
          <w:sz w:val="23"/>
          <w:szCs w:val="23"/>
        </w:rPr>
        <w:t xml:space="preserve"> 392 U.S. 481, 88 </w:t>
      </w:r>
      <w:proofErr w:type="spellStart"/>
      <w:r w:rsidRPr="00851945">
        <w:rPr>
          <w:rFonts w:ascii="Arial" w:eastAsia="Times New Roman" w:hAnsi="Arial" w:cs="Arial"/>
          <w:color w:val="222222"/>
          <w:sz w:val="23"/>
          <w:szCs w:val="23"/>
        </w:rPr>
        <w:t>S.Ct</w:t>
      </w:r>
      <w:proofErr w:type="spellEnd"/>
      <w:r w:rsidRPr="00851945">
        <w:rPr>
          <w:rFonts w:ascii="Arial" w:eastAsia="Times New Roman" w:hAnsi="Arial" w:cs="Arial"/>
          <w:color w:val="222222"/>
          <w:sz w:val="23"/>
          <w:szCs w:val="23"/>
        </w:rPr>
        <w:t>. 2224, 20 L.Ed.2d 1231 (1968)] in defining what sort of recovery federal antitrust law authorizes; it is something altogether different, and in our view inappropriate, to consider them as defining what federal law allows States to do under their own antitrust law."</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i/>
          <w:iCs/>
          <w:color w:val="222222"/>
          <w:sz w:val="23"/>
          <w:szCs w:val="23"/>
        </w:rPr>
        <w:t>Id.</w:t>
      </w:r>
      <w:r w:rsidRPr="00851945">
        <w:rPr>
          <w:rFonts w:ascii="Arial" w:eastAsia="Times New Roman" w:hAnsi="Arial" w:cs="Arial"/>
          <w:color w:val="222222"/>
          <w:sz w:val="23"/>
          <w:szCs w:val="23"/>
        </w:rPr>
        <w:t xml:space="preserve"> at 103, 109 </w:t>
      </w:r>
      <w:proofErr w:type="spellStart"/>
      <w:r w:rsidRPr="00851945">
        <w:rPr>
          <w:rFonts w:ascii="Arial" w:eastAsia="Times New Roman" w:hAnsi="Arial" w:cs="Arial"/>
          <w:color w:val="222222"/>
          <w:sz w:val="23"/>
          <w:szCs w:val="23"/>
        </w:rPr>
        <w:t>S.Ct</w:t>
      </w:r>
      <w:proofErr w:type="spellEnd"/>
      <w:r w:rsidRPr="00851945">
        <w:rPr>
          <w:rFonts w:ascii="Arial" w:eastAsia="Times New Roman" w:hAnsi="Arial" w:cs="Arial"/>
          <w:color w:val="222222"/>
          <w:sz w:val="23"/>
          <w:szCs w:val="23"/>
        </w:rPr>
        <w:t>. 1661.</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Other Supreme Court cases also illustrate the Court's refusal to imply preemption, under the "obstacle" prong of its implied preemption analysis, where state and federal statutes set contrary standards or pursue contrary objectives. In </w:t>
      </w:r>
      <w:hyperlink r:id="rId120" w:history="1">
        <w:proofErr w:type="spellStart"/>
        <w:r w:rsidRPr="00851945">
          <w:rPr>
            <w:rFonts w:ascii="Arial" w:eastAsia="Times New Roman" w:hAnsi="Arial" w:cs="Arial"/>
            <w:i/>
            <w:iCs/>
            <w:color w:val="1A0DAB"/>
            <w:sz w:val="23"/>
            <w:szCs w:val="23"/>
            <w:u w:val="single"/>
          </w:rPr>
          <w:t>Silkwood</w:t>
        </w:r>
        <w:proofErr w:type="spellEnd"/>
        <w:r w:rsidRPr="00851945">
          <w:rPr>
            <w:rFonts w:ascii="Arial" w:eastAsia="Times New Roman" w:hAnsi="Arial" w:cs="Arial"/>
            <w:i/>
            <w:iCs/>
            <w:color w:val="1A0DAB"/>
            <w:sz w:val="23"/>
            <w:szCs w:val="23"/>
            <w:u w:val="single"/>
          </w:rPr>
          <w:t xml:space="preserve"> v. Kerr-McGee Corp.,</w:t>
        </w:r>
        <w:r w:rsidRPr="00851945">
          <w:rPr>
            <w:rFonts w:ascii="Arial" w:eastAsia="Times New Roman" w:hAnsi="Arial" w:cs="Arial"/>
            <w:color w:val="1A0DAB"/>
            <w:sz w:val="23"/>
            <w:szCs w:val="23"/>
            <w:u w:val="single"/>
          </w:rPr>
          <w:t xml:space="preserve"> 464 U.S. 238, 246, 104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615, 78 L.Ed.2d 443 (1984),</w:t>
        </w:r>
      </w:hyperlink>
      <w:r w:rsidRPr="00851945">
        <w:rPr>
          <w:rFonts w:ascii="Arial" w:eastAsia="Times New Roman" w:hAnsi="Arial" w:cs="Arial"/>
          <w:color w:val="222222"/>
          <w:sz w:val="23"/>
          <w:szCs w:val="23"/>
        </w:rPr>
        <w:t xml:space="preserve"> a case that the court in </w:t>
      </w:r>
      <w:r w:rsidRPr="00851945">
        <w:rPr>
          <w:rFonts w:ascii="Arial" w:eastAsia="Times New Roman" w:hAnsi="Arial" w:cs="Arial"/>
          <w:i/>
          <w:iCs/>
          <w:color w:val="222222"/>
          <w:sz w:val="23"/>
          <w:szCs w:val="23"/>
        </w:rPr>
        <w:t>ARC America</w:t>
      </w:r>
      <w:r w:rsidRPr="00851945">
        <w:rPr>
          <w:rFonts w:ascii="Arial" w:eastAsia="Times New Roman" w:hAnsi="Arial" w:cs="Arial"/>
          <w:color w:val="222222"/>
          <w:sz w:val="23"/>
          <w:szCs w:val="23"/>
        </w:rPr>
        <w:t xml:space="preserve"> cited as authority, the jury had awarded the plaintiff a judgment of $10 million in punitive damages against the defendant, a nuclear power company. The defendant asserted that a conflict existed between the state law that permitted the judgment and a federal law regulating nuclear power plants, with which the defendant had complied. Despite an earlier ruling that the Nuclear Regulatory Commission had exclusive authority to regulate the safety of nuclear power plants,</w:t>
      </w:r>
      <w:bookmarkStart w:id="27" w:name="r[28]"/>
      <w:r w:rsidRPr="00851945">
        <w:rPr>
          <w:rFonts w:ascii="Arial" w:eastAsia="Times New Roman" w:hAnsi="Arial" w:cs="Arial"/>
          <w:color w:val="222222"/>
          <w:sz w:val="23"/>
          <w:szCs w:val="23"/>
          <w:vertAlign w:val="superscript"/>
        </w:rPr>
        <w:fldChar w:fldCharType="begin"/>
      </w:r>
      <w:r w:rsidRPr="00851945">
        <w:rPr>
          <w:rFonts w:ascii="Arial" w:eastAsia="Times New Roman" w:hAnsi="Arial" w:cs="Arial"/>
          <w:color w:val="222222"/>
          <w:sz w:val="23"/>
          <w:szCs w:val="23"/>
          <w:vertAlign w:val="superscript"/>
        </w:rPr>
        <w:instrText xml:space="preserve"> HYPERLINK "http://scholar.google.com/scholar_case?case=12394314758738904678&amp;q=emerald+marijuana&amp;hl=en&amp;as_sdt=4,38" \l "[28]" </w:instrText>
      </w:r>
      <w:r w:rsidRPr="00851945">
        <w:rPr>
          <w:rFonts w:ascii="Arial" w:eastAsia="Times New Roman" w:hAnsi="Arial" w:cs="Arial"/>
          <w:color w:val="222222"/>
          <w:sz w:val="23"/>
          <w:szCs w:val="23"/>
          <w:vertAlign w:val="superscript"/>
        </w:rPr>
        <w:fldChar w:fldCharType="separate"/>
      </w:r>
      <w:r w:rsidRPr="00851945">
        <w:rPr>
          <w:rFonts w:ascii="Arial" w:eastAsia="Times New Roman" w:hAnsi="Arial" w:cs="Arial"/>
          <w:color w:val="1A0DAB"/>
          <w:sz w:val="23"/>
          <w:szCs w:val="23"/>
          <w:u w:val="single"/>
          <w:vertAlign w:val="superscript"/>
        </w:rPr>
        <w:t>[5]</w:t>
      </w:r>
      <w:r w:rsidRPr="00851945">
        <w:rPr>
          <w:rFonts w:ascii="Arial" w:eastAsia="Times New Roman" w:hAnsi="Arial" w:cs="Arial"/>
          <w:color w:val="222222"/>
          <w:sz w:val="23"/>
          <w:szCs w:val="23"/>
          <w:vertAlign w:val="superscript"/>
        </w:rPr>
        <w:fldChar w:fldCharType="end"/>
      </w:r>
      <w:bookmarkEnd w:id="27"/>
      <w:r w:rsidRPr="00851945">
        <w:rPr>
          <w:rFonts w:ascii="Arial" w:eastAsia="Times New Roman" w:hAnsi="Arial" w:cs="Arial"/>
          <w:color w:val="222222"/>
          <w:sz w:val="23"/>
          <w:szCs w:val="23"/>
        </w:rPr>
        <w:t xml:space="preserve"> and even though the Court accepted that "there is tension between the conclusion that safety regulation is the exclusive concern of the federal law and the conclusion that a State may nevertheless award damages based on its own law of liability," </w:t>
      </w:r>
      <w:r w:rsidRPr="00851945">
        <w:rPr>
          <w:rFonts w:ascii="Arial" w:eastAsia="Times New Roman" w:hAnsi="Arial" w:cs="Arial"/>
          <w:i/>
          <w:iCs/>
          <w:color w:val="222222"/>
          <w:sz w:val="23"/>
          <w:szCs w:val="23"/>
        </w:rPr>
        <w:t>id.</w:t>
      </w:r>
      <w:r w:rsidRPr="00851945">
        <w:rPr>
          <w:rFonts w:ascii="Arial" w:eastAsia="Times New Roman" w:hAnsi="Arial" w:cs="Arial"/>
          <w:color w:val="222222"/>
          <w:sz w:val="23"/>
          <w:szCs w:val="23"/>
        </w:rPr>
        <w:t xml:space="preserve"> </w:t>
      </w:r>
      <w:proofErr w:type="gramStart"/>
      <w:r w:rsidRPr="00851945">
        <w:rPr>
          <w:rFonts w:ascii="Arial" w:eastAsia="Times New Roman" w:hAnsi="Arial" w:cs="Arial"/>
          <w:color w:val="222222"/>
          <w:sz w:val="23"/>
          <w:szCs w:val="23"/>
        </w:rPr>
        <w:t>at</w:t>
      </w:r>
      <w:proofErr w:type="gramEnd"/>
      <w:r w:rsidRPr="00851945">
        <w:rPr>
          <w:rFonts w:ascii="Arial" w:eastAsia="Times New Roman" w:hAnsi="Arial" w:cs="Arial"/>
          <w:color w:val="222222"/>
          <w:sz w:val="23"/>
          <w:szCs w:val="23"/>
        </w:rPr>
        <w:t xml:space="preserve"> 256, 104 </w:t>
      </w:r>
      <w:proofErr w:type="spellStart"/>
      <w:r w:rsidRPr="00851945">
        <w:rPr>
          <w:rFonts w:ascii="Arial" w:eastAsia="Times New Roman" w:hAnsi="Arial" w:cs="Arial"/>
          <w:color w:val="222222"/>
          <w:sz w:val="23"/>
          <w:szCs w:val="23"/>
        </w:rPr>
        <w:t>S.Ct</w:t>
      </w:r>
      <w:proofErr w:type="spellEnd"/>
      <w:r w:rsidRPr="00851945">
        <w:rPr>
          <w:rFonts w:ascii="Arial" w:eastAsia="Times New Roman" w:hAnsi="Arial" w:cs="Arial"/>
          <w:color w:val="222222"/>
          <w:sz w:val="23"/>
          <w:szCs w:val="23"/>
        </w:rPr>
        <w:t>. 615, the Court refused to invalidate the state law.</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lastRenderedPageBreak/>
        <w:t xml:space="preserve">In </w:t>
      </w:r>
      <w:hyperlink r:id="rId121" w:history="1">
        <w:r w:rsidRPr="00851945">
          <w:rPr>
            <w:rFonts w:ascii="Arial" w:eastAsia="Times New Roman" w:hAnsi="Arial" w:cs="Arial"/>
            <w:i/>
            <w:iCs/>
            <w:color w:val="1A0DAB"/>
            <w:sz w:val="23"/>
            <w:szCs w:val="23"/>
            <w:u w:val="single"/>
          </w:rPr>
          <w:t>Florida Lime &amp; Avocado Growers, Inc. v. Paul,</w:t>
        </w:r>
        <w:r w:rsidRPr="00851945">
          <w:rPr>
            <w:rFonts w:ascii="Arial" w:eastAsia="Times New Roman" w:hAnsi="Arial" w:cs="Arial"/>
            <w:color w:val="1A0DAB"/>
            <w:sz w:val="23"/>
            <w:szCs w:val="23"/>
            <w:u w:val="single"/>
          </w:rPr>
          <w:t xml:space="preserve"> 373 U.S. 132, 83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1210, 10 L.Ed.2d 248 (1963),</w:t>
        </w:r>
      </w:hyperlink>
      <w:r w:rsidRPr="00851945">
        <w:rPr>
          <w:rFonts w:ascii="Arial" w:eastAsia="Times New Roman" w:hAnsi="Arial" w:cs="Arial"/>
          <w:color w:val="222222"/>
          <w:sz w:val="23"/>
          <w:szCs w:val="23"/>
        </w:rPr>
        <w:t xml:space="preserve"> a federal statute authorized the marketing of Florida avocados on the basis of weight, size, and picking date; California, however, regulated the marketing of avocados sold in the state on the basis of oil content. As a result of the differing standards, about six percent of Florida avocados that were deemed mature under federal standards were rejected from California markets. The plaintiffs argued that the federal standard for regulating Florida avocados preempted California's conflicting regulation. As the dissent argued:</w:t>
      </w:r>
    </w:p>
    <w:p w:rsidR="00851945" w:rsidRPr="00851945" w:rsidRDefault="00851945" w:rsidP="00851945">
      <w:pPr>
        <w:shd w:val="clear" w:color="auto" w:fill="FFFFFF"/>
        <w:spacing w:line="240" w:lineRule="auto"/>
        <w:rPr>
          <w:rFonts w:ascii="Arial" w:eastAsia="Times New Roman" w:hAnsi="Arial" w:cs="Arial"/>
          <w:color w:val="222222"/>
          <w:sz w:val="23"/>
          <w:szCs w:val="23"/>
        </w:rPr>
      </w:pPr>
      <w:hyperlink r:id="rId122" w:anchor="p542" w:history="1">
        <w:r w:rsidRPr="00851945">
          <w:rPr>
            <w:rFonts w:ascii="Arial" w:eastAsia="Times New Roman" w:hAnsi="Arial" w:cs="Arial"/>
            <w:color w:val="AAAAAA"/>
            <w:sz w:val="20"/>
            <w:szCs w:val="20"/>
            <w:shd w:val="clear" w:color="auto" w:fill="FFFFFF"/>
          </w:rPr>
          <w:t>542</w:t>
        </w:r>
      </w:hyperlink>
      <w:hyperlink r:id="rId123" w:anchor="p542" w:history="1">
        <w:r w:rsidRPr="00851945">
          <w:rPr>
            <w:rFonts w:ascii="Arial" w:eastAsia="Times New Roman" w:hAnsi="Arial" w:cs="Arial"/>
            <w:color w:val="AAAAAA"/>
            <w:sz w:val="20"/>
            <w:szCs w:val="20"/>
          </w:rPr>
          <w:t>*542</w:t>
        </w:r>
      </w:hyperlink>
      <w:r w:rsidRPr="00851945">
        <w:rPr>
          <w:rFonts w:ascii="Arial" w:eastAsia="Times New Roman" w:hAnsi="Arial" w:cs="Arial"/>
          <w:color w:val="222222"/>
          <w:sz w:val="23"/>
          <w:szCs w:val="23"/>
        </w:rPr>
        <w:t xml:space="preserve"> "The conflict between federal and state law is unmistakable here. The Secretary asserts certain Florida avocados are mature. The state law rejects them as immature. And the conflict is over a matter of central importance to the federal scheme. The elaborate regulatory scheme of the marketing order is focused upon the problem of moving mature avocados into interstate commerce. The maturity regulations are not peripheral aspects of the federal scheme."</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hyperlink r:id="rId124" w:history="1">
        <w:proofErr w:type="gramStart"/>
        <w:r w:rsidRPr="00851945">
          <w:rPr>
            <w:rFonts w:ascii="Arial" w:eastAsia="Times New Roman" w:hAnsi="Arial" w:cs="Arial"/>
            <w:color w:val="1A0DAB"/>
            <w:sz w:val="23"/>
            <w:szCs w:val="23"/>
            <w:u w:val="single"/>
          </w:rPr>
          <w:t xml:space="preserve">373 U.S. at 173, 83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1210 (White, J., dissenting)</w:t>
        </w:r>
      </w:hyperlink>
      <w:r w:rsidRPr="00851945">
        <w:rPr>
          <w:rFonts w:ascii="Arial" w:eastAsia="Times New Roman" w:hAnsi="Arial" w:cs="Arial"/>
          <w:color w:val="222222"/>
          <w:sz w:val="23"/>
          <w:szCs w:val="23"/>
        </w:rPr>
        <w:t>.</w:t>
      </w:r>
      <w:proofErr w:type="gramEnd"/>
      <w:r w:rsidRPr="00851945">
        <w:rPr>
          <w:rFonts w:ascii="Arial" w:eastAsia="Times New Roman" w:hAnsi="Arial" w:cs="Arial"/>
          <w:color w:val="222222"/>
          <w:sz w:val="23"/>
          <w:szCs w:val="23"/>
        </w:rPr>
        <w:t xml:space="preserve"> The majority, however, concluded that the test of whether an actual conflict existed was not whether the laws adopted contrary standards, but whether both laws could be enforced:</w:t>
      </w:r>
    </w:p>
    <w:p w:rsidR="00851945" w:rsidRPr="00851945" w:rsidRDefault="00851945" w:rsidP="00851945">
      <w:pPr>
        <w:shd w:val="clear" w:color="auto" w:fill="FFFFFF"/>
        <w:spacing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"The test of whether both federal and state regulations may operate, or the state regulation must give way, is </w:t>
      </w:r>
      <w:r w:rsidRPr="00851945">
        <w:rPr>
          <w:rFonts w:ascii="Arial" w:eastAsia="Times New Roman" w:hAnsi="Arial" w:cs="Arial"/>
          <w:i/>
          <w:iCs/>
          <w:color w:val="222222"/>
          <w:sz w:val="23"/>
          <w:szCs w:val="23"/>
        </w:rPr>
        <w:t>whether both regulations can be enforced</w:t>
      </w:r>
      <w:r w:rsidRPr="00851945">
        <w:rPr>
          <w:rFonts w:ascii="Arial" w:eastAsia="Times New Roman" w:hAnsi="Arial" w:cs="Arial"/>
          <w:color w:val="222222"/>
          <w:sz w:val="23"/>
          <w:szCs w:val="23"/>
        </w:rPr>
        <w:t xml:space="preserve"> without impairing the federal superintendence of the field, not whether they are aimed at similar or different objectives."</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i/>
          <w:iCs/>
          <w:color w:val="222222"/>
          <w:sz w:val="23"/>
          <w:szCs w:val="23"/>
        </w:rPr>
        <w:t>Id.</w:t>
      </w:r>
      <w:r w:rsidRPr="00851945">
        <w:rPr>
          <w:rFonts w:ascii="Arial" w:eastAsia="Times New Roman" w:hAnsi="Arial" w:cs="Arial"/>
          <w:color w:val="222222"/>
          <w:sz w:val="23"/>
          <w:szCs w:val="23"/>
        </w:rPr>
        <w:t xml:space="preserve"> at 142, 83 </w:t>
      </w:r>
      <w:proofErr w:type="spellStart"/>
      <w:r w:rsidRPr="00851945">
        <w:rPr>
          <w:rFonts w:ascii="Arial" w:eastAsia="Times New Roman" w:hAnsi="Arial" w:cs="Arial"/>
          <w:color w:val="222222"/>
          <w:sz w:val="23"/>
          <w:szCs w:val="23"/>
        </w:rPr>
        <w:t>S.Ct</w:t>
      </w:r>
      <w:proofErr w:type="spellEnd"/>
      <w:r w:rsidRPr="00851945">
        <w:rPr>
          <w:rFonts w:ascii="Arial" w:eastAsia="Times New Roman" w:hAnsi="Arial" w:cs="Arial"/>
          <w:color w:val="222222"/>
          <w:sz w:val="23"/>
          <w:szCs w:val="23"/>
        </w:rPr>
        <w:t>. 1210 (emphasis added).</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The Court's most recent case on the issue, </w:t>
      </w:r>
      <w:hyperlink r:id="rId125" w:history="1">
        <w:r w:rsidRPr="00851945">
          <w:rPr>
            <w:rFonts w:ascii="Arial" w:eastAsia="Times New Roman" w:hAnsi="Arial" w:cs="Arial"/>
            <w:i/>
            <w:iCs/>
            <w:color w:val="1A0DAB"/>
            <w:sz w:val="23"/>
            <w:szCs w:val="23"/>
            <w:u w:val="single"/>
          </w:rPr>
          <w:t>Wyeth v. Levine,</w:t>
        </w:r>
        <w:r w:rsidRPr="00851945">
          <w:rPr>
            <w:rFonts w:ascii="Arial" w:eastAsia="Times New Roman" w:hAnsi="Arial" w:cs="Arial"/>
            <w:color w:val="1A0DAB"/>
            <w:sz w:val="23"/>
            <w:szCs w:val="23"/>
            <w:u w:val="single"/>
          </w:rPr>
          <w:t xml:space="preserve"> ___ U.S. ___, 129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1187, 173 L.Ed.2d 51 (2009),</w:t>
        </w:r>
      </w:hyperlink>
      <w:r w:rsidRPr="00851945">
        <w:rPr>
          <w:rFonts w:ascii="Arial" w:eastAsia="Times New Roman" w:hAnsi="Arial" w:cs="Arial"/>
          <w:color w:val="222222"/>
          <w:sz w:val="23"/>
          <w:szCs w:val="23"/>
        </w:rPr>
        <w:t xml:space="preserve"> is in accord. In that case, the court was presented with a conflict between state and federal law that the dissent characterized as follows: "The FDA told Wyeth that Phenergan's label renders its use `safe.' But the State of Vermont, through its tort law said: `Not so.'"</w:t>
      </w:r>
      <w:bookmarkStart w:id="28" w:name="r[29]"/>
      <w:r w:rsidRPr="00851945">
        <w:rPr>
          <w:rFonts w:ascii="Arial" w:eastAsia="Times New Roman" w:hAnsi="Arial" w:cs="Arial"/>
          <w:color w:val="222222"/>
          <w:sz w:val="23"/>
          <w:szCs w:val="23"/>
          <w:vertAlign w:val="superscript"/>
        </w:rPr>
        <w:fldChar w:fldCharType="begin"/>
      </w:r>
      <w:r w:rsidRPr="00851945">
        <w:rPr>
          <w:rFonts w:ascii="Arial" w:eastAsia="Times New Roman" w:hAnsi="Arial" w:cs="Arial"/>
          <w:color w:val="222222"/>
          <w:sz w:val="23"/>
          <w:szCs w:val="23"/>
          <w:vertAlign w:val="superscript"/>
        </w:rPr>
        <w:instrText xml:space="preserve"> HYPERLINK "http://scholar.google.com/scholar_case?case=12394314758738904678&amp;q=emerald+marijuana&amp;hl=en&amp;as_sdt=4,38" \l "[29]" </w:instrText>
      </w:r>
      <w:r w:rsidRPr="00851945">
        <w:rPr>
          <w:rFonts w:ascii="Arial" w:eastAsia="Times New Roman" w:hAnsi="Arial" w:cs="Arial"/>
          <w:color w:val="222222"/>
          <w:sz w:val="23"/>
          <w:szCs w:val="23"/>
          <w:vertAlign w:val="superscript"/>
        </w:rPr>
        <w:fldChar w:fldCharType="separate"/>
      </w:r>
      <w:r w:rsidRPr="00851945">
        <w:rPr>
          <w:rFonts w:ascii="Arial" w:eastAsia="Times New Roman" w:hAnsi="Arial" w:cs="Arial"/>
          <w:color w:val="1A0DAB"/>
          <w:sz w:val="23"/>
          <w:szCs w:val="23"/>
          <w:u w:val="single"/>
          <w:vertAlign w:val="superscript"/>
        </w:rPr>
        <w:t>[6]</w:t>
      </w:r>
      <w:r w:rsidRPr="00851945">
        <w:rPr>
          <w:rFonts w:ascii="Arial" w:eastAsia="Times New Roman" w:hAnsi="Arial" w:cs="Arial"/>
          <w:color w:val="222222"/>
          <w:sz w:val="23"/>
          <w:szCs w:val="23"/>
          <w:vertAlign w:val="superscript"/>
        </w:rPr>
        <w:fldChar w:fldCharType="end"/>
      </w:r>
      <w:bookmarkEnd w:id="28"/>
      <w:r w:rsidRPr="00851945">
        <w:rPr>
          <w:rFonts w:ascii="Arial" w:eastAsia="Times New Roman" w:hAnsi="Arial" w:cs="Arial"/>
          <w:color w:val="222222"/>
          <w:sz w:val="23"/>
          <w:szCs w:val="23"/>
        </w:rPr>
        <w:t xml:space="preserve"> </w:t>
      </w:r>
      <w:r w:rsidRPr="00851945">
        <w:rPr>
          <w:rFonts w:ascii="Arial" w:eastAsia="Times New Roman" w:hAnsi="Arial" w:cs="Arial"/>
          <w:i/>
          <w:iCs/>
          <w:color w:val="222222"/>
          <w:sz w:val="23"/>
          <w:szCs w:val="23"/>
        </w:rPr>
        <w:t>Id.,</w:t>
      </w:r>
      <w:r w:rsidRPr="00851945">
        <w:rPr>
          <w:rFonts w:ascii="Arial" w:eastAsia="Times New Roman" w:hAnsi="Arial" w:cs="Arial"/>
          <w:color w:val="222222"/>
          <w:sz w:val="23"/>
          <w:szCs w:val="23"/>
        </w:rPr>
        <w:t xml:space="preserve"> </w:t>
      </w:r>
      <w:hyperlink r:id="rId126" w:history="1">
        <w:r w:rsidRPr="00851945">
          <w:rPr>
            <w:rFonts w:ascii="Arial" w:eastAsia="Times New Roman" w:hAnsi="Arial" w:cs="Arial"/>
            <w:color w:val="1A0DAB"/>
            <w:sz w:val="23"/>
            <w:szCs w:val="23"/>
            <w:u w:val="single"/>
          </w:rPr>
          <w:t xml:space="preserve">129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at 1231 (Alito, J. dissenting)</w:t>
        </w:r>
      </w:hyperlink>
      <w:r w:rsidRPr="00851945">
        <w:rPr>
          <w:rFonts w:ascii="Arial" w:eastAsia="Times New Roman" w:hAnsi="Arial" w:cs="Arial"/>
          <w:color w:val="222222"/>
          <w:sz w:val="23"/>
          <w:szCs w:val="23"/>
        </w:rPr>
        <w:t>. Nevertheless, the majority upheld the state law. Although the two laws imposed contradictory standards, the state law was not preempted.</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The cases that I have reviewed demonstrate that the Supreme Court requires more as a basis for implying a congressional intent to preempt a state law than a Congressional purpose that is at odds with the policy that a state selects. The Court has permitted state laws that impose standards of conduct different than those set by federal laws to stand unless the state laws preclude the enforcement of the federal laws or have some other demonstrated effect on their operation. The Court has found state laws that forbid, impair or prevent the exercise of federally granted powers or rights to be preempted.</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The majority does not contend, in accordance with those cases, that ORS 475.306(1) or the Oregon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Act as a whole precludes enforcement of the Controlled Substances Act or has any other demonstrated effect on its "accomplishment and execution." The only obstacles to the federal act that the majority identifies are Oregon's differing policy choice and the lack of respect that it signifies. 348 Or. </w:t>
      </w:r>
      <w:proofErr w:type="gramStart"/>
      <w:r w:rsidRPr="00851945">
        <w:rPr>
          <w:rFonts w:ascii="Arial" w:eastAsia="Times New Roman" w:hAnsi="Arial" w:cs="Arial"/>
          <w:color w:val="222222"/>
          <w:sz w:val="23"/>
          <w:szCs w:val="23"/>
        </w:rPr>
        <w:t>at</w:t>
      </w:r>
      <w:proofErr w:type="gramEnd"/>
      <w:r w:rsidRPr="00851945">
        <w:rPr>
          <w:rFonts w:ascii="Arial" w:eastAsia="Times New Roman" w:hAnsi="Arial" w:cs="Arial"/>
          <w:color w:val="222222"/>
          <w:sz w:val="23"/>
          <w:szCs w:val="23"/>
        </w:rPr>
        <w:t xml:space="preserve"> 184-85, 230 P.3d at 533.</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lastRenderedPageBreak/>
        <w:t>As an example of the way it believes the Supremacy Clause to operate, the majority posits that, if Congress were to pass a law prohibiting persons under the age of 21 from driving, a state law authorizing persons over the age of 16 to drive and giving them a license to do so would be preempted.</w:t>
      </w:r>
      <w:bookmarkStart w:id="29" w:name="r[30]"/>
      <w:r w:rsidRPr="00851945">
        <w:rPr>
          <w:rFonts w:ascii="Arial" w:eastAsia="Times New Roman" w:hAnsi="Arial" w:cs="Arial"/>
          <w:color w:val="222222"/>
          <w:sz w:val="23"/>
          <w:szCs w:val="23"/>
          <w:vertAlign w:val="superscript"/>
        </w:rPr>
        <w:fldChar w:fldCharType="begin"/>
      </w:r>
      <w:r w:rsidRPr="00851945">
        <w:rPr>
          <w:rFonts w:ascii="Arial" w:eastAsia="Times New Roman" w:hAnsi="Arial" w:cs="Arial"/>
          <w:color w:val="222222"/>
          <w:sz w:val="23"/>
          <w:szCs w:val="23"/>
          <w:vertAlign w:val="superscript"/>
        </w:rPr>
        <w:instrText xml:space="preserve"> HYPERLINK "http://scholar.google.com/scholar_case?case=12394314758738904678&amp;q=emerald+marijuana&amp;hl=en&amp;as_sdt=4,38" \l "[30]" </w:instrText>
      </w:r>
      <w:r w:rsidRPr="00851945">
        <w:rPr>
          <w:rFonts w:ascii="Arial" w:eastAsia="Times New Roman" w:hAnsi="Arial" w:cs="Arial"/>
          <w:color w:val="222222"/>
          <w:sz w:val="23"/>
          <w:szCs w:val="23"/>
          <w:vertAlign w:val="superscript"/>
        </w:rPr>
        <w:fldChar w:fldCharType="separate"/>
      </w:r>
      <w:r w:rsidRPr="00851945">
        <w:rPr>
          <w:rFonts w:ascii="Arial" w:eastAsia="Times New Roman" w:hAnsi="Arial" w:cs="Arial"/>
          <w:color w:val="1A0DAB"/>
          <w:sz w:val="23"/>
          <w:szCs w:val="23"/>
          <w:u w:val="single"/>
          <w:vertAlign w:val="superscript"/>
        </w:rPr>
        <w:t>[7]</w:t>
      </w:r>
      <w:r w:rsidRPr="00851945">
        <w:rPr>
          <w:rFonts w:ascii="Arial" w:eastAsia="Times New Roman" w:hAnsi="Arial" w:cs="Arial"/>
          <w:color w:val="222222"/>
          <w:sz w:val="23"/>
          <w:szCs w:val="23"/>
          <w:vertAlign w:val="superscript"/>
        </w:rPr>
        <w:fldChar w:fldCharType="end"/>
      </w:r>
      <w:bookmarkEnd w:id="29"/>
      <w:r w:rsidRPr="00851945">
        <w:rPr>
          <w:rFonts w:ascii="Arial" w:eastAsia="Times New Roman" w:hAnsi="Arial" w:cs="Arial"/>
          <w:color w:val="222222"/>
          <w:sz w:val="23"/>
          <w:szCs w:val="23"/>
        </w:rPr>
        <w:t xml:space="preserve"> 348 Or. </w:t>
      </w:r>
      <w:proofErr w:type="gramStart"/>
      <w:r w:rsidRPr="00851945">
        <w:rPr>
          <w:rFonts w:ascii="Arial" w:eastAsia="Times New Roman" w:hAnsi="Arial" w:cs="Arial"/>
          <w:color w:val="222222"/>
          <w:sz w:val="23"/>
          <w:szCs w:val="23"/>
        </w:rPr>
        <w:t>at</w:t>
      </w:r>
      <w:proofErr w:type="gramEnd"/>
      <w:r w:rsidRPr="00851945">
        <w:rPr>
          <w:rFonts w:ascii="Arial" w:eastAsia="Times New Roman" w:hAnsi="Arial" w:cs="Arial"/>
          <w:color w:val="222222"/>
          <w:sz w:val="23"/>
          <w:szCs w:val="23"/>
        </w:rPr>
        <w:t xml:space="preserve"> 180-81, 230 P.3d at 530-31. The majority would be correct </w:t>
      </w:r>
      <w:r w:rsidRPr="00851945">
        <w:rPr>
          <w:rFonts w:ascii="Arial" w:eastAsia="Times New Roman" w:hAnsi="Arial" w:cs="Arial"/>
          <w:i/>
          <w:iCs/>
          <w:color w:val="222222"/>
          <w:sz w:val="23"/>
          <w:szCs w:val="23"/>
        </w:rPr>
        <w:t>if</w:t>
      </w:r>
      <w:r w:rsidRPr="00851945">
        <w:rPr>
          <w:rFonts w:ascii="Arial" w:eastAsia="Times New Roman" w:hAnsi="Arial" w:cs="Arial"/>
          <w:color w:val="222222"/>
          <w:sz w:val="23"/>
          <w:szCs w:val="23"/>
        </w:rPr>
        <w:t xml:space="preserve"> Congress had authority to make such a law and </w:t>
      </w:r>
      <w:r w:rsidRPr="00851945">
        <w:rPr>
          <w:rFonts w:ascii="Arial" w:eastAsia="Times New Roman" w:hAnsi="Arial" w:cs="Arial"/>
          <w:i/>
          <w:iCs/>
          <w:color w:val="222222"/>
          <w:sz w:val="23"/>
          <w:szCs w:val="23"/>
        </w:rPr>
        <w:t>if</w:t>
      </w:r>
      <w:r w:rsidRPr="00851945">
        <w:rPr>
          <w:rFonts w:ascii="Arial" w:eastAsia="Times New Roman" w:hAnsi="Arial" w:cs="Arial"/>
          <w:color w:val="222222"/>
          <w:sz w:val="23"/>
          <w:szCs w:val="23"/>
        </w:rPr>
        <w:t xml:space="preserve"> Congress expressly preempted state laws allowing persons under the age of 21 to drive or indicated </w:t>
      </w:r>
      <w:proofErr w:type="gramStart"/>
      <w:r w:rsidRPr="00851945">
        <w:rPr>
          <w:rFonts w:ascii="Arial" w:eastAsia="Times New Roman" w:hAnsi="Arial" w:cs="Arial"/>
          <w:color w:val="222222"/>
          <w:sz w:val="23"/>
          <w:szCs w:val="23"/>
        </w:rPr>
        <w:t>an intent</w:t>
      </w:r>
      <w:proofErr w:type="gramEnd"/>
      <w:r w:rsidRPr="00851945">
        <w:rPr>
          <w:rFonts w:ascii="Arial" w:eastAsia="Times New Roman" w:hAnsi="Arial" w:cs="Arial"/>
          <w:color w:val="222222"/>
          <w:sz w:val="23"/>
          <w:szCs w:val="23"/>
        </w:rPr>
        <w:t xml:space="preserve"> to occupy the field. However, without such statement of Congressional intent, implied preemption does not necessarily follow. As a sovereign state, Oregon has authority to license its drivers and to choose its own age requirements. If Oregon set at 16 years the minimum age for its drivers then, the Oregon driver licenses it issued would give 16-year-olds only state permission to drive. The Oregon law would not be preempted, but neither would it protect 16-year-olds from federal prosecution and liability.</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As a result, an Oregon legislature considering whether to enact such a law could decide, as a practical matter, that it would </w:t>
      </w:r>
      <w:hyperlink r:id="rId127" w:anchor="p543" w:history="1">
        <w:r w:rsidRPr="00851945">
          <w:rPr>
            <w:rFonts w:ascii="Arial" w:eastAsia="Times New Roman" w:hAnsi="Arial" w:cs="Arial"/>
            <w:color w:val="AAAAAA"/>
            <w:sz w:val="20"/>
            <w:szCs w:val="20"/>
            <w:shd w:val="clear" w:color="auto" w:fill="FFFFFF"/>
          </w:rPr>
          <w:t>543</w:t>
        </w:r>
      </w:hyperlink>
      <w:hyperlink r:id="rId128" w:anchor="p543" w:history="1">
        <w:r w:rsidRPr="00851945">
          <w:rPr>
            <w:rFonts w:ascii="Arial" w:eastAsia="Times New Roman" w:hAnsi="Arial" w:cs="Arial"/>
            <w:color w:val="AAAAAA"/>
            <w:sz w:val="20"/>
            <w:szCs w:val="20"/>
          </w:rPr>
          <w:t>*543</w:t>
        </w:r>
      </w:hyperlink>
      <w:r w:rsidRPr="00851945">
        <w:rPr>
          <w:rFonts w:ascii="Arial" w:eastAsia="Times New Roman" w:hAnsi="Arial" w:cs="Arial"/>
          <w:color w:val="222222"/>
          <w:sz w:val="23"/>
          <w:szCs w:val="23"/>
        </w:rPr>
        <w:t xml:space="preserve"> not be in the interest of its citizens to grant licenses that could result in federal prosecution. Suppose, however, that Congress had passed the federal law that the majority posits, but that federal officers were not enforcing it. Or suppose further that the federal government had announced a federal policy decision not to enforce the federal law against "individuals whose actions are in clear and unambiguous compliance with existing state laws" permitting minors to drive. Could Oregon not serve as a laboratory allowing minors to drive on its roads under carefully circumscribed conditions to permit them to acquire driving skills and giving Congress important information that might assist it in determining whether its policy should be changed? Is not one of federalism's chief virtues that "a single courageous State may, if its citizens choose, serve as a laboratory; and try novel social and economic experiments without risk to the rest of the country"? </w:t>
      </w:r>
      <w:r w:rsidRPr="00851945">
        <w:rPr>
          <w:rFonts w:ascii="Arial" w:eastAsia="Times New Roman" w:hAnsi="Arial" w:cs="Arial"/>
          <w:i/>
          <w:iCs/>
          <w:color w:val="222222"/>
          <w:sz w:val="23"/>
          <w:szCs w:val="23"/>
        </w:rPr>
        <w:t xml:space="preserve">See </w:t>
      </w:r>
      <w:hyperlink r:id="rId129" w:history="1">
        <w:r w:rsidRPr="00851945">
          <w:rPr>
            <w:rFonts w:ascii="Arial" w:eastAsia="Times New Roman" w:hAnsi="Arial" w:cs="Arial"/>
            <w:i/>
            <w:iCs/>
            <w:color w:val="1A0DAB"/>
            <w:sz w:val="23"/>
            <w:szCs w:val="23"/>
            <w:u w:val="single"/>
          </w:rPr>
          <w:t xml:space="preserve">New State Ice Co. v. </w:t>
        </w:r>
        <w:proofErr w:type="spellStart"/>
        <w:r w:rsidRPr="00851945">
          <w:rPr>
            <w:rFonts w:ascii="Arial" w:eastAsia="Times New Roman" w:hAnsi="Arial" w:cs="Arial"/>
            <w:i/>
            <w:iCs/>
            <w:color w:val="1A0DAB"/>
            <w:sz w:val="23"/>
            <w:szCs w:val="23"/>
            <w:u w:val="single"/>
          </w:rPr>
          <w:t>Liebmann</w:t>
        </w:r>
        <w:proofErr w:type="spellEnd"/>
        <w:r w:rsidRPr="00851945">
          <w:rPr>
            <w:rFonts w:ascii="Arial" w:eastAsia="Times New Roman" w:hAnsi="Arial" w:cs="Arial"/>
            <w:i/>
            <w:iCs/>
            <w:color w:val="1A0DAB"/>
            <w:sz w:val="23"/>
            <w:szCs w:val="23"/>
            <w:u w:val="single"/>
          </w:rPr>
          <w:t>,</w:t>
        </w:r>
        <w:r w:rsidRPr="00851945">
          <w:rPr>
            <w:rFonts w:ascii="Arial" w:eastAsia="Times New Roman" w:hAnsi="Arial" w:cs="Arial"/>
            <w:color w:val="1A0DAB"/>
            <w:sz w:val="23"/>
            <w:szCs w:val="23"/>
            <w:u w:val="single"/>
          </w:rPr>
          <w:t xml:space="preserve"> 285 U.S. 262, 311, 52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xml:space="preserve">. 371, </w:t>
        </w:r>
        <w:proofErr w:type="gramStart"/>
        <w:r w:rsidRPr="00851945">
          <w:rPr>
            <w:rFonts w:ascii="Arial" w:eastAsia="Times New Roman" w:hAnsi="Arial" w:cs="Arial"/>
            <w:color w:val="1A0DAB"/>
            <w:sz w:val="23"/>
            <w:szCs w:val="23"/>
            <w:u w:val="single"/>
          </w:rPr>
          <w:t xml:space="preserve">76 </w:t>
        </w:r>
        <w:proofErr w:type="spellStart"/>
        <w:r w:rsidRPr="00851945">
          <w:rPr>
            <w:rFonts w:ascii="Arial" w:eastAsia="Times New Roman" w:hAnsi="Arial" w:cs="Arial"/>
            <w:color w:val="1A0DAB"/>
            <w:sz w:val="23"/>
            <w:szCs w:val="23"/>
            <w:u w:val="single"/>
          </w:rPr>
          <w:t>L.Ed</w:t>
        </w:r>
        <w:proofErr w:type="spellEnd"/>
        <w:proofErr w:type="gramEnd"/>
        <w:r w:rsidRPr="00851945">
          <w:rPr>
            <w:rFonts w:ascii="Arial" w:eastAsia="Times New Roman" w:hAnsi="Arial" w:cs="Arial"/>
            <w:color w:val="1A0DAB"/>
            <w:sz w:val="23"/>
            <w:szCs w:val="23"/>
            <w:u w:val="single"/>
          </w:rPr>
          <w:t>. 747 (1932) (Brandeis, J., dissenting)</w:t>
        </w:r>
      </w:hyperlink>
      <w:r w:rsidRPr="00851945">
        <w:rPr>
          <w:rFonts w:ascii="Arial" w:eastAsia="Times New Roman" w:hAnsi="Arial" w:cs="Arial"/>
          <w:color w:val="222222"/>
          <w:sz w:val="23"/>
          <w:szCs w:val="23"/>
        </w:rPr>
        <w:t xml:space="preserve"> (so contending).</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In the case of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the federal government in fact has announced that it will not enforce the Controlled Substances Act against "individuals whose actions are in clear and unambiguous compliance with existing state laws permitting the medical use of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w:t>
      </w:r>
      <w:bookmarkStart w:id="30" w:name="r[31]"/>
      <w:r w:rsidRPr="00851945">
        <w:rPr>
          <w:rFonts w:ascii="Arial" w:eastAsia="Times New Roman" w:hAnsi="Arial" w:cs="Arial"/>
          <w:color w:val="222222"/>
          <w:sz w:val="23"/>
          <w:szCs w:val="23"/>
          <w:vertAlign w:val="superscript"/>
        </w:rPr>
        <w:fldChar w:fldCharType="begin"/>
      </w:r>
      <w:r w:rsidRPr="00851945">
        <w:rPr>
          <w:rFonts w:ascii="Arial" w:eastAsia="Times New Roman" w:hAnsi="Arial" w:cs="Arial"/>
          <w:color w:val="222222"/>
          <w:sz w:val="23"/>
          <w:szCs w:val="23"/>
          <w:vertAlign w:val="superscript"/>
        </w:rPr>
        <w:instrText xml:space="preserve"> HYPERLINK "http://scholar.google.com/scholar_case?case=12394314758738904678&amp;q=emerald+marijuana&amp;hl=en&amp;as_sdt=4,38" \l "[31]" </w:instrText>
      </w:r>
      <w:r w:rsidRPr="00851945">
        <w:rPr>
          <w:rFonts w:ascii="Arial" w:eastAsia="Times New Roman" w:hAnsi="Arial" w:cs="Arial"/>
          <w:color w:val="222222"/>
          <w:sz w:val="23"/>
          <w:szCs w:val="23"/>
          <w:vertAlign w:val="superscript"/>
        </w:rPr>
        <w:fldChar w:fldCharType="separate"/>
      </w:r>
      <w:r w:rsidRPr="00851945">
        <w:rPr>
          <w:rFonts w:ascii="Arial" w:eastAsia="Times New Roman" w:hAnsi="Arial" w:cs="Arial"/>
          <w:color w:val="1A0DAB"/>
          <w:sz w:val="23"/>
          <w:szCs w:val="23"/>
          <w:u w:val="single"/>
          <w:vertAlign w:val="superscript"/>
        </w:rPr>
        <w:t>[8]</w:t>
      </w:r>
      <w:r w:rsidRPr="00851945">
        <w:rPr>
          <w:rFonts w:ascii="Arial" w:eastAsia="Times New Roman" w:hAnsi="Arial" w:cs="Arial"/>
          <w:color w:val="222222"/>
          <w:sz w:val="23"/>
          <w:szCs w:val="23"/>
          <w:vertAlign w:val="superscript"/>
        </w:rPr>
        <w:fldChar w:fldCharType="end"/>
      </w:r>
      <w:bookmarkEnd w:id="30"/>
      <w:r w:rsidRPr="00851945">
        <w:rPr>
          <w:rFonts w:ascii="Arial" w:eastAsia="Times New Roman" w:hAnsi="Arial" w:cs="Arial"/>
          <w:color w:val="222222"/>
          <w:sz w:val="23"/>
          <w:szCs w:val="23"/>
        </w:rPr>
        <w:t xml:space="preserve"> Oregon is not the only state that permits the use of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and at least one state is considering rules to "identify requirements for the licensure of producers and cannabis production facilities." </w:t>
      </w:r>
      <w:proofErr w:type="gramStart"/>
      <w:r w:rsidRPr="00851945">
        <w:rPr>
          <w:rFonts w:ascii="Arial" w:eastAsia="Times New Roman" w:hAnsi="Arial" w:cs="Arial"/>
          <w:color w:val="222222"/>
          <w:sz w:val="23"/>
          <w:szCs w:val="23"/>
        </w:rPr>
        <w:t xml:space="preserve">New Mexico's "Lynn and Erin Compassionate Use Act," 2007 New Mexico Laws </w:t>
      </w:r>
      <w:proofErr w:type="spellStart"/>
      <w:r w:rsidRPr="00851945">
        <w:rPr>
          <w:rFonts w:ascii="Arial" w:eastAsia="Times New Roman" w:hAnsi="Arial" w:cs="Arial"/>
          <w:color w:val="222222"/>
          <w:sz w:val="23"/>
          <w:szCs w:val="23"/>
        </w:rPr>
        <w:t>ch.</w:t>
      </w:r>
      <w:proofErr w:type="spellEnd"/>
      <w:r w:rsidRPr="00851945">
        <w:rPr>
          <w:rFonts w:ascii="Arial" w:eastAsia="Times New Roman" w:hAnsi="Arial" w:cs="Arial"/>
          <w:color w:val="222222"/>
          <w:sz w:val="23"/>
          <w:szCs w:val="23"/>
        </w:rPr>
        <w:t xml:space="preserve"> 210, § 7 (SB 523).</w:t>
      </w:r>
      <w:bookmarkStart w:id="31" w:name="r[32]"/>
      <w:proofErr w:type="gramEnd"/>
      <w:r w:rsidRPr="00851945">
        <w:rPr>
          <w:rFonts w:ascii="Arial" w:eastAsia="Times New Roman" w:hAnsi="Arial" w:cs="Arial"/>
          <w:color w:val="222222"/>
          <w:sz w:val="23"/>
          <w:szCs w:val="23"/>
          <w:vertAlign w:val="superscript"/>
        </w:rPr>
        <w:fldChar w:fldCharType="begin"/>
      </w:r>
      <w:r w:rsidRPr="00851945">
        <w:rPr>
          <w:rFonts w:ascii="Arial" w:eastAsia="Times New Roman" w:hAnsi="Arial" w:cs="Arial"/>
          <w:color w:val="222222"/>
          <w:sz w:val="23"/>
          <w:szCs w:val="23"/>
          <w:vertAlign w:val="superscript"/>
        </w:rPr>
        <w:instrText xml:space="preserve"> HYPERLINK "http://scholar.google.com/scholar_case?case=12394314758738904678&amp;q=emerald+marijuana&amp;hl=en&amp;as_sdt=4,38" \l "[32]" </w:instrText>
      </w:r>
      <w:r w:rsidRPr="00851945">
        <w:rPr>
          <w:rFonts w:ascii="Arial" w:eastAsia="Times New Roman" w:hAnsi="Arial" w:cs="Arial"/>
          <w:color w:val="222222"/>
          <w:sz w:val="23"/>
          <w:szCs w:val="23"/>
          <w:vertAlign w:val="superscript"/>
        </w:rPr>
        <w:fldChar w:fldCharType="separate"/>
      </w:r>
      <w:r w:rsidRPr="00851945">
        <w:rPr>
          <w:rFonts w:ascii="Arial" w:eastAsia="Times New Roman" w:hAnsi="Arial" w:cs="Arial"/>
          <w:color w:val="1A0DAB"/>
          <w:sz w:val="23"/>
          <w:szCs w:val="23"/>
          <w:u w:val="single"/>
          <w:vertAlign w:val="superscript"/>
        </w:rPr>
        <w:t>[9]</w:t>
      </w:r>
      <w:r w:rsidRPr="00851945">
        <w:rPr>
          <w:rFonts w:ascii="Arial" w:eastAsia="Times New Roman" w:hAnsi="Arial" w:cs="Arial"/>
          <w:color w:val="222222"/>
          <w:sz w:val="23"/>
          <w:szCs w:val="23"/>
          <w:vertAlign w:val="superscript"/>
        </w:rPr>
        <w:fldChar w:fldCharType="end"/>
      </w:r>
      <w:bookmarkEnd w:id="31"/>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As I explained at the outset, the federal government has no power to require that the Oregon legislature pass state laws to implement or give effect to federal policy choices. One sovereign may make a policy choice to prohibit and punish conduct; the other sovereign may make a different policy choice not to do so and instead to permit, for purposes of state law only, other circumscribed conduct. Absent express preemption, a particular policy choice by the federal government does not alone establish an implied intent to preempt contrary state law. A different choice by a state is just that—different. A state's contrary choice does not indicate a lack of respect; it indicates federalism at work.</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The consequence of the majority's decision that the Controlled Substance Act invalidates ORS 475.306(1) is that petitioner is disqualified from the benefits of ORS 659A.124, which imposes a requirement of reasonable accommodation. The majority states that it does not </w:t>
      </w:r>
      <w:r w:rsidRPr="00851945">
        <w:rPr>
          <w:rFonts w:ascii="Arial" w:eastAsia="Times New Roman" w:hAnsi="Arial" w:cs="Arial"/>
          <w:color w:val="222222"/>
          <w:sz w:val="23"/>
          <w:szCs w:val="23"/>
        </w:rPr>
        <w:lastRenderedPageBreak/>
        <w:t xml:space="preserve">decide "whether the legislature, if it chose to do so and worded Oregon's disability law differently, could require employers to reasonably accommodate otherwise qualified </w:t>
      </w:r>
      <w:hyperlink r:id="rId130" w:anchor="p544" w:history="1">
        <w:r w:rsidRPr="00851945">
          <w:rPr>
            <w:rFonts w:ascii="Arial" w:eastAsia="Times New Roman" w:hAnsi="Arial" w:cs="Arial"/>
            <w:color w:val="AAAAAA"/>
            <w:sz w:val="20"/>
            <w:szCs w:val="20"/>
            <w:shd w:val="clear" w:color="auto" w:fill="FFFFFF"/>
          </w:rPr>
          <w:t>544</w:t>
        </w:r>
      </w:hyperlink>
      <w:hyperlink r:id="rId131" w:anchor="p544" w:history="1">
        <w:r w:rsidRPr="00851945">
          <w:rPr>
            <w:rFonts w:ascii="Arial" w:eastAsia="Times New Roman" w:hAnsi="Arial" w:cs="Arial"/>
            <w:color w:val="AAAAAA"/>
            <w:sz w:val="20"/>
            <w:szCs w:val="20"/>
          </w:rPr>
          <w:t>*544</w:t>
        </w:r>
      </w:hyperlink>
      <w:r w:rsidRPr="00851945">
        <w:rPr>
          <w:rFonts w:ascii="Arial" w:eastAsia="Times New Roman" w:hAnsi="Arial" w:cs="Arial"/>
          <w:color w:val="222222"/>
          <w:sz w:val="23"/>
          <w:szCs w:val="23"/>
        </w:rPr>
        <w:t xml:space="preserve"> disabled employees who use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to treat their disabilities." 348 Or. </w:t>
      </w:r>
      <w:proofErr w:type="gramStart"/>
      <w:r w:rsidRPr="00851945">
        <w:rPr>
          <w:rFonts w:ascii="Arial" w:eastAsia="Times New Roman" w:hAnsi="Arial" w:cs="Arial"/>
          <w:color w:val="222222"/>
          <w:sz w:val="23"/>
          <w:szCs w:val="23"/>
        </w:rPr>
        <w:t>at</w:t>
      </w:r>
      <w:proofErr w:type="gramEnd"/>
      <w:r w:rsidRPr="00851945">
        <w:rPr>
          <w:rFonts w:ascii="Arial" w:eastAsia="Times New Roman" w:hAnsi="Arial" w:cs="Arial"/>
          <w:color w:val="222222"/>
          <w:sz w:val="23"/>
          <w:szCs w:val="23"/>
        </w:rPr>
        <w:t xml:space="preserve"> 172 n. 12, 230 P.3d at 526 n. 12. Indeed, different words could be used for that purpose. For instance, the legislature could state expressly in ORS chapter 659A that disabled persons who would be entitled to the affirmative defense set forth in ORS 475.319 (a provision the majority does not find preempted) are not disqualified from the protections of the Oregon Disability Act, including the requirement of reasonable accommodation. Or, to be even more careful, the legislature could state, in chapter 659A, the conditions that a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user must meet to be entitled to the protections of the Oregon Disability Act without any reference to the Oregon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Act. If the legislature took either of those actions, reasonable accommodation would not be tied to the provision of the Oregon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Act that the majority finds to be of "no effect."</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Although such changes could secure the right of reasonable accommodation for disabled persons who use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in compliance with Oregon law, the changes would not eliminate the questions that the majority's analysis raises about the validity of other provisions of the Oregon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Act that use words of authorization or about the reach of Oregon's legislative authority. If the majority decision simply represents a formalistic view of the Supremacy Clause that permits Oregon to make its own choices about what conduct to punish (and thereby to permit) as long as it phrases its choices carefully, perhaps my concern is overstated. But as I cannot imagine that Congress would be concerned with the phrasing, rather than the effect, of state law, I not only think that the majority is wrong, I fear that it wrongly limits the legislative authority of this state. If it does, it not only limits the state's authority to make its own medical </w:t>
      </w:r>
      <w:r w:rsidRPr="00851945">
        <w:rPr>
          <w:rFonts w:ascii="Arial" w:eastAsia="Times New Roman" w:hAnsi="Arial" w:cs="Arial"/>
          <w:b/>
          <w:bCs/>
          <w:color w:val="000000"/>
          <w:sz w:val="23"/>
          <w:szCs w:val="23"/>
          <w:shd w:val="clear" w:color="auto" w:fill="FFFFCC"/>
        </w:rPr>
        <w:t>marijuana</w:t>
      </w:r>
      <w:r w:rsidRPr="00851945">
        <w:rPr>
          <w:rFonts w:ascii="Arial" w:eastAsia="Times New Roman" w:hAnsi="Arial" w:cs="Arial"/>
          <w:color w:val="222222"/>
          <w:sz w:val="23"/>
          <w:szCs w:val="23"/>
        </w:rPr>
        <w:t xml:space="preserve"> laws, it limits the state's authority to enact other laws that set standards of conduct different than the standards set by the federal government. Consider just one statute currently on the books—Oregon's Death with Dignity Act.</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Oregon's Death with Dignity Act affirmatively authorizes physicians to use controlled substances to assist suicide.</w:t>
      </w:r>
      <w:bookmarkStart w:id="32" w:name="r[33]"/>
      <w:r w:rsidRPr="00851945">
        <w:rPr>
          <w:rFonts w:ascii="Arial" w:eastAsia="Times New Roman" w:hAnsi="Arial" w:cs="Arial"/>
          <w:color w:val="222222"/>
          <w:sz w:val="23"/>
          <w:szCs w:val="23"/>
          <w:vertAlign w:val="superscript"/>
        </w:rPr>
        <w:fldChar w:fldCharType="begin"/>
      </w:r>
      <w:r w:rsidRPr="00851945">
        <w:rPr>
          <w:rFonts w:ascii="Arial" w:eastAsia="Times New Roman" w:hAnsi="Arial" w:cs="Arial"/>
          <w:color w:val="222222"/>
          <w:sz w:val="23"/>
          <w:szCs w:val="23"/>
          <w:vertAlign w:val="superscript"/>
        </w:rPr>
        <w:instrText xml:space="preserve"> HYPERLINK "http://scholar.google.com/scholar_case?case=12394314758738904678&amp;q=emerald+marijuana&amp;hl=en&amp;as_sdt=4,38" \l "[33]" </w:instrText>
      </w:r>
      <w:r w:rsidRPr="00851945">
        <w:rPr>
          <w:rFonts w:ascii="Arial" w:eastAsia="Times New Roman" w:hAnsi="Arial" w:cs="Arial"/>
          <w:color w:val="222222"/>
          <w:sz w:val="23"/>
          <w:szCs w:val="23"/>
          <w:vertAlign w:val="superscript"/>
        </w:rPr>
        <w:fldChar w:fldCharType="separate"/>
      </w:r>
      <w:r w:rsidRPr="00851945">
        <w:rPr>
          <w:rFonts w:ascii="Arial" w:eastAsia="Times New Roman" w:hAnsi="Arial" w:cs="Arial"/>
          <w:color w:val="1A0DAB"/>
          <w:sz w:val="23"/>
          <w:szCs w:val="23"/>
          <w:u w:val="single"/>
          <w:vertAlign w:val="superscript"/>
        </w:rPr>
        <w:t>[10]</w:t>
      </w:r>
      <w:r w:rsidRPr="00851945">
        <w:rPr>
          <w:rFonts w:ascii="Arial" w:eastAsia="Times New Roman" w:hAnsi="Arial" w:cs="Arial"/>
          <w:color w:val="222222"/>
          <w:sz w:val="23"/>
          <w:szCs w:val="23"/>
          <w:vertAlign w:val="superscript"/>
        </w:rPr>
        <w:fldChar w:fldCharType="end"/>
      </w:r>
      <w:bookmarkEnd w:id="32"/>
      <w:r w:rsidRPr="00851945">
        <w:rPr>
          <w:rFonts w:ascii="Arial" w:eastAsia="Times New Roman" w:hAnsi="Arial" w:cs="Arial"/>
          <w:color w:val="222222"/>
          <w:sz w:val="23"/>
          <w:szCs w:val="23"/>
        </w:rPr>
        <w:t xml:space="preserve"> In </w:t>
      </w:r>
      <w:hyperlink r:id="rId132" w:history="1">
        <w:r w:rsidRPr="00851945">
          <w:rPr>
            <w:rFonts w:ascii="Arial" w:eastAsia="Times New Roman" w:hAnsi="Arial" w:cs="Arial"/>
            <w:i/>
            <w:iCs/>
            <w:color w:val="1A0DAB"/>
            <w:sz w:val="23"/>
            <w:szCs w:val="23"/>
            <w:u w:val="single"/>
          </w:rPr>
          <w:t>Gonzales v. Oregon,</w:t>
        </w:r>
        <w:r w:rsidRPr="00851945">
          <w:rPr>
            <w:rFonts w:ascii="Arial" w:eastAsia="Times New Roman" w:hAnsi="Arial" w:cs="Arial"/>
            <w:color w:val="1A0DAB"/>
            <w:sz w:val="23"/>
            <w:szCs w:val="23"/>
            <w:u w:val="single"/>
          </w:rPr>
          <w:t xml:space="preserve"> 546 U.S. 243, 126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904, 163 L.Ed.2d 748 (2006),</w:t>
        </w:r>
      </w:hyperlink>
      <w:r w:rsidRPr="00851945">
        <w:rPr>
          <w:rFonts w:ascii="Arial" w:eastAsia="Times New Roman" w:hAnsi="Arial" w:cs="Arial"/>
          <w:color w:val="222222"/>
          <w:sz w:val="23"/>
          <w:szCs w:val="23"/>
        </w:rPr>
        <w:t xml:space="preserve"> the Supreme Court considered the validity of a federal Interpretive Rule that provided that "using controlled substances to assist suicide is not a legitimate medical practice and that dispensing or prescribing them for this purpose is unlawful under the [Controlled Substances Act]." </w:t>
      </w:r>
      <w:r w:rsidRPr="00851945">
        <w:rPr>
          <w:rFonts w:ascii="Arial" w:eastAsia="Times New Roman" w:hAnsi="Arial" w:cs="Arial"/>
          <w:i/>
          <w:iCs/>
          <w:color w:val="222222"/>
          <w:sz w:val="23"/>
          <w:szCs w:val="23"/>
        </w:rPr>
        <w:t>Id.</w:t>
      </w:r>
      <w:r w:rsidRPr="00851945">
        <w:rPr>
          <w:rFonts w:ascii="Arial" w:eastAsia="Times New Roman" w:hAnsi="Arial" w:cs="Arial"/>
          <w:color w:val="222222"/>
          <w:sz w:val="23"/>
          <w:szCs w:val="23"/>
        </w:rPr>
        <w:t xml:space="preserve"> at 249, 126 </w:t>
      </w:r>
      <w:proofErr w:type="spellStart"/>
      <w:r w:rsidRPr="00851945">
        <w:rPr>
          <w:rFonts w:ascii="Arial" w:eastAsia="Times New Roman" w:hAnsi="Arial" w:cs="Arial"/>
          <w:color w:val="222222"/>
          <w:sz w:val="23"/>
          <w:szCs w:val="23"/>
        </w:rPr>
        <w:t>S.Ct</w:t>
      </w:r>
      <w:proofErr w:type="spellEnd"/>
      <w:r w:rsidRPr="00851945">
        <w:rPr>
          <w:rFonts w:ascii="Arial" w:eastAsia="Times New Roman" w:hAnsi="Arial" w:cs="Arial"/>
          <w:color w:val="222222"/>
          <w:sz w:val="23"/>
          <w:szCs w:val="23"/>
        </w:rPr>
        <w:t>. 904. The Supreme Court decided that the Interpretive Rule was invalid and did not decide whether the federal rule preempted the Oregon act. But if the federal government were to adopt a statute or a valid rule to the same effect, would this court hold that, because the Oregon Death with Dignity Act grants physicians permission to take actions that federal law prohibits, the state statute is preempted and of no effect? If so, the court would invalidate a state law using an analysis that at least three members of the Supreme Court have recognized to be faulty:</w:t>
      </w:r>
    </w:p>
    <w:p w:rsidR="00851945" w:rsidRPr="00851945" w:rsidRDefault="00851945" w:rsidP="00851945">
      <w:pPr>
        <w:shd w:val="clear" w:color="auto" w:fill="FFFFFF"/>
        <w:spacing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 xml:space="preserve">"[T]he [Interpretive Rule] does not purport to pre-empt state law in any way, not even by conflict pre-emption—unless the Court is under the misimpression that some States </w:t>
      </w:r>
      <w:r w:rsidRPr="00851945">
        <w:rPr>
          <w:rFonts w:ascii="Arial" w:eastAsia="Times New Roman" w:hAnsi="Arial" w:cs="Arial"/>
          <w:i/>
          <w:iCs/>
          <w:color w:val="222222"/>
          <w:sz w:val="23"/>
          <w:szCs w:val="23"/>
        </w:rPr>
        <w:t>require</w:t>
      </w:r>
      <w:r w:rsidRPr="00851945">
        <w:rPr>
          <w:rFonts w:ascii="Arial" w:eastAsia="Times New Roman" w:hAnsi="Arial" w:cs="Arial"/>
          <w:color w:val="222222"/>
          <w:sz w:val="23"/>
          <w:szCs w:val="23"/>
        </w:rPr>
        <w:t xml:space="preserve"> assisted suicide."</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hyperlink r:id="rId133" w:history="1">
        <w:proofErr w:type="gramStart"/>
        <w:r w:rsidRPr="00851945">
          <w:rPr>
            <w:rFonts w:ascii="Arial" w:eastAsia="Times New Roman" w:hAnsi="Arial" w:cs="Arial"/>
            <w:i/>
            <w:iCs/>
            <w:color w:val="1A0DAB"/>
            <w:sz w:val="23"/>
            <w:szCs w:val="23"/>
            <w:u w:val="single"/>
          </w:rPr>
          <w:t>Gonzales,</w:t>
        </w:r>
        <w:r w:rsidRPr="00851945">
          <w:rPr>
            <w:rFonts w:ascii="Arial" w:eastAsia="Times New Roman" w:hAnsi="Arial" w:cs="Arial"/>
            <w:color w:val="1A0DAB"/>
            <w:sz w:val="23"/>
            <w:szCs w:val="23"/>
            <w:u w:val="single"/>
          </w:rPr>
          <w:t xml:space="preserve"> 546 U.S. at 290, 126 </w:t>
        </w:r>
        <w:proofErr w:type="spellStart"/>
        <w:r w:rsidRPr="00851945">
          <w:rPr>
            <w:rFonts w:ascii="Arial" w:eastAsia="Times New Roman" w:hAnsi="Arial" w:cs="Arial"/>
            <w:color w:val="1A0DAB"/>
            <w:sz w:val="23"/>
            <w:szCs w:val="23"/>
            <w:u w:val="single"/>
          </w:rPr>
          <w:t>S.Ct</w:t>
        </w:r>
        <w:proofErr w:type="spellEnd"/>
        <w:r w:rsidRPr="00851945">
          <w:rPr>
            <w:rFonts w:ascii="Arial" w:eastAsia="Times New Roman" w:hAnsi="Arial" w:cs="Arial"/>
            <w:color w:val="1A0DAB"/>
            <w:sz w:val="23"/>
            <w:szCs w:val="23"/>
            <w:u w:val="single"/>
          </w:rPr>
          <w:t>. 904 (Scalia, J., joined by Roberts, C.J. and Thomas, J., dissenting)</w:t>
        </w:r>
      </w:hyperlink>
      <w:r w:rsidRPr="00851945">
        <w:rPr>
          <w:rFonts w:ascii="Arial" w:eastAsia="Times New Roman" w:hAnsi="Arial" w:cs="Arial"/>
          <w:color w:val="222222"/>
          <w:sz w:val="23"/>
          <w:szCs w:val="23"/>
        </w:rPr>
        <w:t xml:space="preserve"> (emphasis in original).</w:t>
      </w:r>
      <w:proofErr w:type="gramEnd"/>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lastRenderedPageBreak/>
        <w:t xml:space="preserve">I do not understand why, in our system of dual sovereigns, Oregon must fly only in federal formation and not, as Oregon's motto provides, "with her own wings." </w:t>
      </w:r>
      <w:proofErr w:type="gramStart"/>
      <w:r w:rsidRPr="00851945">
        <w:rPr>
          <w:rFonts w:ascii="Arial" w:eastAsia="Times New Roman" w:hAnsi="Arial" w:cs="Arial"/>
          <w:color w:val="222222"/>
          <w:sz w:val="23"/>
          <w:szCs w:val="23"/>
        </w:rPr>
        <w:t>ORS 186.040.</w:t>
      </w:r>
      <w:proofErr w:type="gramEnd"/>
      <w:r w:rsidRPr="00851945">
        <w:rPr>
          <w:rFonts w:ascii="Arial" w:eastAsia="Times New Roman" w:hAnsi="Arial" w:cs="Arial"/>
          <w:color w:val="222222"/>
          <w:sz w:val="23"/>
          <w:szCs w:val="23"/>
        </w:rPr>
        <w:t xml:space="preserve"> Therefore, I cannot join in a decision by which we, as state court judges, enjoin the policies of our own state and preclude our legislature from making its own </w:t>
      </w:r>
      <w:hyperlink r:id="rId134" w:anchor="p545" w:history="1">
        <w:r w:rsidRPr="00851945">
          <w:rPr>
            <w:rFonts w:ascii="Arial" w:eastAsia="Times New Roman" w:hAnsi="Arial" w:cs="Arial"/>
            <w:color w:val="AAAAAA"/>
            <w:sz w:val="20"/>
            <w:szCs w:val="20"/>
            <w:shd w:val="clear" w:color="auto" w:fill="FFFFFF"/>
          </w:rPr>
          <w:t>545</w:t>
        </w:r>
      </w:hyperlink>
      <w:hyperlink r:id="rId135" w:anchor="p545" w:history="1">
        <w:r w:rsidRPr="00851945">
          <w:rPr>
            <w:rFonts w:ascii="Arial" w:eastAsia="Times New Roman" w:hAnsi="Arial" w:cs="Arial"/>
            <w:color w:val="AAAAAA"/>
            <w:sz w:val="20"/>
            <w:szCs w:val="20"/>
          </w:rPr>
          <w:t>*545</w:t>
        </w:r>
      </w:hyperlink>
      <w:r w:rsidRPr="00851945">
        <w:rPr>
          <w:rFonts w:ascii="Arial" w:eastAsia="Times New Roman" w:hAnsi="Arial" w:cs="Arial"/>
          <w:color w:val="222222"/>
          <w:sz w:val="23"/>
          <w:szCs w:val="23"/>
        </w:rPr>
        <w:t xml:space="preserve"> independent decisions about what conduct to criminalize. With respect, I dissent.</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23"/>
          <w:szCs w:val="23"/>
        </w:rPr>
      </w:pPr>
      <w:r w:rsidRPr="00851945">
        <w:rPr>
          <w:rFonts w:ascii="Arial" w:eastAsia="Times New Roman" w:hAnsi="Arial" w:cs="Arial"/>
          <w:color w:val="222222"/>
          <w:sz w:val="23"/>
          <w:szCs w:val="23"/>
        </w:rPr>
        <w:t>DURHAM, J., joins in this opinion.</w:t>
      </w:r>
    </w:p>
    <w:bookmarkStart w:id="33" w:name="[1]"/>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18"/>
          <w:szCs w:val="18"/>
        </w:rPr>
      </w:pPr>
      <w:r w:rsidRPr="00851945">
        <w:rPr>
          <w:rFonts w:ascii="Arial" w:eastAsia="Times New Roman" w:hAnsi="Arial" w:cs="Arial"/>
          <w:color w:val="222222"/>
          <w:sz w:val="18"/>
          <w:szCs w:val="18"/>
        </w:rPr>
        <w:fldChar w:fldCharType="begin"/>
      </w:r>
      <w:r w:rsidRPr="00851945">
        <w:rPr>
          <w:rFonts w:ascii="Arial" w:eastAsia="Times New Roman" w:hAnsi="Arial" w:cs="Arial"/>
          <w:color w:val="222222"/>
          <w:sz w:val="18"/>
          <w:szCs w:val="18"/>
        </w:rPr>
        <w:instrText xml:space="preserve"> HYPERLINK "http://scholar.google.com/scholar_case?case=12394314758738904678&amp;q=emerald+marijuana&amp;hl=en&amp;as_sdt=4,38" \l "r[1]" </w:instrText>
      </w:r>
      <w:r w:rsidRPr="00851945">
        <w:rPr>
          <w:rFonts w:ascii="Arial" w:eastAsia="Times New Roman" w:hAnsi="Arial" w:cs="Arial"/>
          <w:color w:val="222222"/>
          <w:sz w:val="18"/>
          <w:szCs w:val="18"/>
        </w:rPr>
        <w:fldChar w:fldCharType="separate"/>
      </w:r>
      <w:r w:rsidRPr="00851945">
        <w:rPr>
          <w:rFonts w:ascii="Arial" w:eastAsia="Times New Roman" w:hAnsi="Arial" w:cs="Arial"/>
          <w:color w:val="1A0DAB"/>
          <w:sz w:val="18"/>
          <w:szCs w:val="18"/>
          <w:u w:val="single"/>
        </w:rPr>
        <w:t>[1]</w:t>
      </w:r>
      <w:r w:rsidRPr="00851945">
        <w:rPr>
          <w:rFonts w:ascii="Arial" w:eastAsia="Times New Roman" w:hAnsi="Arial" w:cs="Arial"/>
          <w:color w:val="222222"/>
          <w:sz w:val="18"/>
          <w:szCs w:val="18"/>
        </w:rPr>
        <w:fldChar w:fldCharType="end"/>
      </w:r>
      <w:bookmarkEnd w:id="33"/>
      <w:r w:rsidRPr="00851945">
        <w:rPr>
          <w:rFonts w:ascii="Arial" w:eastAsia="Times New Roman" w:hAnsi="Arial" w:cs="Arial"/>
          <w:color w:val="222222"/>
          <w:sz w:val="18"/>
          <w:szCs w:val="18"/>
        </w:rPr>
        <w:t xml:space="preserve"> The 2001 version of the applicable statutes was in effect at the time of the events that gave rise to this proceeding. Since 2001, the legislature has amended those statutes but not in ways that affect our decision, and we have cited to the 2009 version of the statutes.</w:t>
      </w:r>
    </w:p>
    <w:bookmarkStart w:id="34" w:name="[2]"/>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18"/>
          <w:szCs w:val="18"/>
        </w:rPr>
      </w:pPr>
      <w:r w:rsidRPr="00851945">
        <w:rPr>
          <w:rFonts w:ascii="Arial" w:eastAsia="Times New Roman" w:hAnsi="Arial" w:cs="Arial"/>
          <w:color w:val="222222"/>
          <w:sz w:val="18"/>
          <w:szCs w:val="18"/>
        </w:rPr>
        <w:fldChar w:fldCharType="begin"/>
      </w:r>
      <w:r w:rsidRPr="00851945">
        <w:rPr>
          <w:rFonts w:ascii="Arial" w:eastAsia="Times New Roman" w:hAnsi="Arial" w:cs="Arial"/>
          <w:color w:val="222222"/>
          <w:sz w:val="18"/>
          <w:szCs w:val="18"/>
        </w:rPr>
        <w:instrText xml:space="preserve"> HYPERLINK "http://scholar.google.com/scholar_case?case=12394314758738904678&amp;q=emerald+marijuana&amp;hl=en&amp;as_sdt=4,38" \l "r[2]" </w:instrText>
      </w:r>
      <w:r w:rsidRPr="00851945">
        <w:rPr>
          <w:rFonts w:ascii="Arial" w:eastAsia="Times New Roman" w:hAnsi="Arial" w:cs="Arial"/>
          <w:color w:val="222222"/>
          <w:sz w:val="18"/>
          <w:szCs w:val="18"/>
        </w:rPr>
        <w:fldChar w:fldCharType="separate"/>
      </w:r>
      <w:r w:rsidRPr="00851945">
        <w:rPr>
          <w:rFonts w:ascii="Arial" w:eastAsia="Times New Roman" w:hAnsi="Arial" w:cs="Arial"/>
          <w:color w:val="1A0DAB"/>
          <w:sz w:val="18"/>
          <w:szCs w:val="18"/>
          <w:u w:val="single"/>
        </w:rPr>
        <w:t>[2]</w:t>
      </w:r>
      <w:r w:rsidRPr="00851945">
        <w:rPr>
          <w:rFonts w:ascii="Arial" w:eastAsia="Times New Roman" w:hAnsi="Arial" w:cs="Arial"/>
          <w:color w:val="222222"/>
          <w:sz w:val="18"/>
          <w:szCs w:val="18"/>
        </w:rPr>
        <w:fldChar w:fldCharType="end"/>
      </w:r>
      <w:bookmarkEnd w:id="34"/>
      <w:r w:rsidRPr="00851945">
        <w:rPr>
          <w:rFonts w:ascii="Arial" w:eastAsia="Times New Roman" w:hAnsi="Arial" w:cs="Arial"/>
          <w:color w:val="222222"/>
          <w:sz w:val="18"/>
          <w:szCs w:val="18"/>
        </w:rPr>
        <w:t xml:space="preserve"> ORS 475.309(7)(a)(C) requires a person possessing a registry identification card to submit annually "[u]</w:t>
      </w:r>
      <w:proofErr w:type="spellStart"/>
      <w:r w:rsidRPr="00851945">
        <w:rPr>
          <w:rFonts w:ascii="Arial" w:eastAsia="Times New Roman" w:hAnsi="Arial" w:cs="Arial"/>
          <w:color w:val="222222"/>
          <w:sz w:val="18"/>
          <w:szCs w:val="18"/>
        </w:rPr>
        <w:t>pdated</w:t>
      </w:r>
      <w:proofErr w:type="spellEnd"/>
      <w:r w:rsidRPr="00851945">
        <w:rPr>
          <w:rFonts w:ascii="Arial" w:eastAsia="Times New Roman" w:hAnsi="Arial" w:cs="Arial"/>
          <w:color w:val="222222"/>
          <w:sz w:val="18"/>
          <w:szCs w:val="18"/>
        </w:rPr>
        <w:t xml:space="preserve"> written documentation from the cardholder's attending physician of the person's debilitating medical condition and that the medical use of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may mitigate the symptoms or effects" of that condition. </w:t>
      </w:r>
      <w:proofErr w:type="gramStart"/>
      <w:r w:rsidRPr="00851945">
        <w:rPr>
          <w:rFonts w:ascii="Arial" w:eastAsia="Times New Roman" w:hAnsi="Arial" w:cs="Arial"/>
          <w:color w:val="222222"/>
          <w:sz w:val="18"/>
          <w:szCs w:val="18"/>
        </w:rPr>
        <w:t>If the person fails to do so, the card "shall be deemed expired."</w:t>
      </w:r>
      <w:proofErr w:type="gramEnd"/>
      <w:r w:rsidRPr="00851945">
        <w:rPr>
          <w:rFonts w:ascii="Arial" w:eastAsia="Times New Roman" w:hAnsi="Arial" w:cs="Arial"/>
          <w:color w:val="222222"/>
          <w:sz w:val="18"/>
          <w:szCs w:val="18"/>
        </w:rPr>
        <w:t xml:space="preserve"> ORS 475.309(7</w:t>
      </w:r>
      <w:proofErr w:type="gramStart"/>
      <w:r w:rsidRPr="00851945">
        <w:rPr>
          <w:rFonts w:ascii="Arial" w:eastAsia="Times New Roman" w:hAnsi="Arial" w:cs="Arial"/>
          <w:color w:val="222222"/>
          <w:sz w:val="18"/>
          <w:szCs w:val="18"/>
        </w:rPr>
        <w:t>)(</w:t>
      </w:r>
      <w:proofErr w:type="gramEnd"/>
      <w:r w:rsidRPr="00851945">
        <w:rPr>
          <w:rFonts w:ascii="Arial" w:eastAsia="Times New Roman" w:hAnsi="Arial" w:cs="Arial"/>
          <w:color w:val="222222"/>
          <w:sz w:val="18"/>
          <w:szCs w:val="18"/>
        </w:rPr>
        <w:t>b).</w:t>
      </w:r>
    </w:p>
    <w:bookmarkStart w:id="35" w:name="[3]"/>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18"/>
          <w:szCs w:val="18"/>
        </w:rPr>
      </w:pPr>
      <w:r w:rsidRPr="00851945">
        <w:rPr>
          <w:rFonts w:ascii="Arial" w:eastAsia="Times New Roman" w:hAnsi="Arial" w:cs="Arial"/>
          <w:color w:val="222222"/>
          <w:sz w:val="18"/>
          <w:szCs w:val="18"/>
        </w:rPr>
        <w:fldChar w:fldCharType="begin"/>
      </w:r>
      <w:r w:rsidRPr="00851945">
        <w:rPr>
          <w:rFonts w:ascii="Arial" w:eastAsia="Times New Roman" w:hAnsi="Arial" w:cs="Arial"/>
          <w:color w:val="222222"/>
          <w:sz w:val="18"/>
          <w:szCs w:val="18"/>
        </w:rPr>
        <w:instrText xml:space="preserve"> HYPERLINK "http://scholar.google.com/scholar_case?case=12394314758738904678&amp;q=emerald+marijuana&amp;hl=en&amp;as_sdt=4,38" \l "r[3]" </w:instrText>
      </w:r>
      <w:r w:rsidRPr="00851945">
        <w:rPr>
          <w:rFonts w:ascii="Arial" w:eastAsia="Times New Roman" w:hAnsi="Arial" w:cs="Arial"/>
          <w:color w:val="222222"/>
          <w:sz w:val="18"/>
          <w:szCs w:val="18"/>
        </w:rPr>
        <w:fldChar w:fldCharType="separate"/>
      </w:r>
      <w:r w:rsidRPr="00851945">
        <w:rPr>
          <w:rFonts w:ascii="Arial" w:eastAsia="Times New Roman" w:hAnsi="Arial" w:cs="Arial"/>
          <w:color w:val="1A0DAB"/>
          <w:sz w:val="18"/>
          <w:szCs w:val="18"/>
          <w:u w:val="single"/>
        </w:rPr>
        <w:t>[3]</w:t>
      </w:r>
      <w:r w:rsidRPr="00851945">
        <w:rPr>
          <w:rFonts w:ascii="Arial" w:eastAsia="Times New Roman" w:hAnsi="Arial" w:cs="Arial"/>
          <w:color w:val="222222"/>
          <w:sz w:val="18"/>
          <w:szCs w:val="18"/>
        </w:rPr>
        <w:fldChar w:fldCharType="end"/>
      </w:r>
      <w:bookmarkEnd w:id="35"/>
      <w:r w:rsidRPr="00851945">
        <w:rPr>
          <w:rFonts w:ascii="Arial" w:eastAsia="Times New Roman" w:hAnsi="Arial" w:cs="Arial"/>
          <w:color w:val="222222"/>
          <w:sz w:val="18"/>
          <w:szCs w:val="18"/>
        </w:rPr>
        <w:t xml:space="preserve"> BOLI points to nothing in its rules that suggests that more specificity was required. </w:t>
      </w:r>
      <w:r w:rsidRPr="00851945">
        <w:rPr>
          <w:rFonts w:ascii="Arial" w:eastAsia="Times New Roman" w:hAnsi="Arial" w:cs="Arial"/>
          <w:i/>
          <w:iCs/>
          <w:color w:val="222222"/>
          <w:sz w:val="18"/>
          <w:szCs w:val="18"/>
        </w:rPr>
        <w:t>Cf.</w:t>
      </w:r>
      <w:r w:rsidRPr="00851945">
        <w:rPr>
          <w:rFonts w:ascii="Arial" w:eastAsia="Times New Roman" w:hAnsi="Arial" w:cs="Arial"/>
          <w:color w:val="222222"/>
          <w:sz w:val="18"/>
          <w:szCs w:val="18"/>
        </w:rPr>
        <w:t xml:space="preserve"> OAR 839-050-0130 (providing only that affirmative defenses must be raised or waived).</w:t>
      </w:r>
    </w:p>
    <w:bookmarkStart w:id="36" w:name="[4]"/>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18"/>
          <w:szCs w:val="18"/>
        </w:rPr>
      </w:pPr>
      <w:r w:rsidRPr="00851945">
        <w:rPr>
          <w:rFonts w:ascii="Arial" w:eastAsia="Times New Roman" w:hAnsi="Arial" w:cs="Arial"/>
          <w:color w:val="222222"/>
          <w:sz w:val="18"/>
          <w:szCs w:val="18"/>
        </w:rPr>
        <w:fldChar w:fldCharType="begin"/>
      </w:r>
      <w:r w:rsidRPr="00851945">
        <w:rPr>
          <w:rFonts w:ascii="Arial" w:eastAsia="Times New Roman" w:hAnsi="Arial" w:cs="Arial"/>
          <w:color w:val="222222"/>
          <w:sz w:val="18"/>
          <w:szCs w:val="18"/>
        </w:rPr>
        <w:instrText xml:space="preserve"> HYPERLINK "http://scholar.google.com/scholar_case?case=12394314758738904678&amp;q=emerald+marijuana&amp;hl=en&amp;as_sdt=4,38" \l "r[4]" </w:instrText>
      </w:r>
      <w:r w:rsidRPr="00851945">
        <w:rPr>
          <w:rFonts w:ascii="Arial" w:eastAsia="Times New Roman" w:hAnsi="Arial" w:cs="Arial"/>
          <w:color w:val="222222"/>
          <w:sz w:val="18"/>
          <w:szCs w:val="18"/>
        </w:rPr>
        <w:fldChar w:fldCharType="separate"/>
      </w:r>
      <w:r w:rsidRPr="00851945">
        <w:rPr>
          <w:rFonts w:ascii="Arial" w:eastAsia="Times New Roman" w:hAnsi="Arial" w:cs="Arial"/>
          <w:color w:val="1A0DAB"/>
          <w:sz w:val="18"/>
          <w:szCs w:val="18"/>
          <w:u w:val="single"/>
        </w:rPr>
        <w:t>[4]</w:t>
      </w:r>
      <w:r w:rsidRPr="00851945">
        <w:rPr>
          <w:rFonts w:ascii="Arial" w:eastAsia="Times New Roman" w:hAnsi="Arial" w:cs="Arial"/>
          <w:color w:val="222222"/>
          <w:sz w:val="18"/>
          <w:szCs w:val="18"/>
        </w:rPr>
        <w:fldChar w:fldCharType="end"/>
      </w:r>
      <w:bookmarkEnd w:id="36"/>
      <w:r w:rsidRPr="00851945">
        <w:rPr>
          <w:rFonts w:ascii="Arial" w:eastAsia="Times New Roman" w:hAnsi="Arial" w:cs="Arial"/>
          <w:color w:val="222222"/>
          <w:sz w:val="18"/>
          <w:szCs w:val="18"/>
        </w:rPr>
        <w:t xml:space="preserve"> To be sure, the Court of Appeals reserved the question in </w:t>
      </w:r>
      <w:r w:rsidRPr="00851945">
        <w:rPr>
          <w:rFonts w:ascii="Arial" w:eastAsia="Times New Roman" w:hAnsi="Arial" w:cs="Arial"/>
          <w:i/>
          <w:iCs/>
          <w:color w:val="222222"/>
          <w:sz w:val="18"/>
          <w:szCs w:val="18"/>
        </w:rPr>
        <w:t>Washburn</w:t>
      </w:r>
      <w:r w:rsidRPr="00851945">
        <w:rPr>
          <w:rFonts w:ascii="Arial" w:eastAsia="Times New Roman" w:hAnsi="Arial" w:cs="Arial"/>
          <w:color w:val="222222"/>
          <w:sz w:val="18"/>
          <w:szCs w:val="18"/>
        </w:rPr>
        <w:t xml:space="preserve"> whether the use of medical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is unlawful under federal law, but that did not detain it from holding that the employer in that case had an obligation under ORS 659A.112 to accommodate the employee's use of medical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Given </w:t>
      </w:r>
      <w:r w:rsidRPr="00851945">
        <w:rPr>
          <w:rFonts w:ascii="Arial" w:eastAsia="Times New Roman" w:hAnsi="Arial" w:cs="Arial"/>
          <w:i/>
          <w:iCs/>
          <w:color w:val="222222"/>
          <w:sz w:val="18"/>
          <w:szCs w:val="18"/>
        </w:rPr>
        <w:t>Washburn</w:t>
      </w:r>
      <w:r w:rsidRPr="00851945">
        <w:rPr>
          <w:rFonts w:ascii="Arial" w:eastAsia="Times New Roman" w:hAnsi="Arial" w:cs="Arial"/>
          <w:color w:val="222222"/>
          <w:sz w:val="18"/>
          <w:szCs w:val="18"/>
        </w:rPr>
        <w:t xml:space="preserve">'s holding, employer reasonably conceded its controlling effect until, as noted below, the Supreme Court issued its decision in </w:t>
      </w:r>
      <w:proofErr w:type="spellStart"/>
      <w:r w:rsidRPr="00851945">
        <w:rPr>
          <w:rFonts w:ascii="Arial" w:eastAsia="Times New Roman" w:hAnsi="Arial" w:cs="Arial"/>
          <w:i/>
          <w:iCs/>
          <w:color w:val="222222"/>
          <w:sz w:val="18"/>
          <w:szCs w:val="18"/>
        </w:rPr>
        <w:t>Raich</w:t>
      </w:r>
      <w:proofErr w:type="spellEnd"/>
      <w:r w:rsidRPr="00851945">
        <w:rPr>
          <w:rFonts w:ascii="Arial" w:eastAsia="Times New Roman" w:hAnsi="Arial" w:cs="Arial"/>
          <w:i/>
          <w:iCs/>
          <w:color w:val="222222"/>
          <w:sz w:val="18"/>
          <w:szCs w:val="18"/>
        </w:rPr>
        <w:t>.</w:t>
      </w:r>
    </w:p>
    <w:bookmarkStart w:id="37" w:name="[5]"/>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18"/>
          <w:szCs w:val="18"/>
        </w:rPr>
      </w:pPr>
      <w:r w:rsidRPr="00851945">
        <w:rPr>
          <w:rFonts w:ascii="Arial" w:eastAsia="Times New Roman" w:hAnsi="Arial" w:cs="Arial"/>
          <w:color w:val="222222"/>
          <w:sz w:val="18"/>
          <w:szCs w:val="18"/>
        </w:rPr>
        <w:fldChar w:fldCharType="begin"/>
      </w:r>
      <w:r w:rsidRPr="00851945">
        <w:rPr>
          <w:rFonts w:ascii="Arial" w:eastAsia="Times New Roman" w:hAnsi="Arial" w:cs="Arial"/>
          <w:color w:val="222222"/>
          <w:sz w:val="18"/>
          <w:szCs w:val="18"/>
        </w:rPr>
        <w:instrText xml:space="preserve"> HYPERLINK "http://scholar.google.com/scholar_case?case=12394314758738904678&amp;q=emerald+marijuana&amp;hl=en&amp;as_sdt=4,38" \l "r[5]" </w:instrText>
      </w:r>
      <w:r w:rsidRPr="00851945">
        <w:rPr>
          <w:rFonts w:ascii="Arial" w:eastAsia="Times New Roman" w:hAnsi="Arial" w:cs="Arial"/>
          <w:color w:val="222222"/>
          <w:sz w:val="18"/>
          <w:szCs w:val="18"/>
        </w:rPr>
        <w:fldChar w:fldCharType="separate"/>
      </w:r>
      <w:r w:rsidRPr="00851945">
        <w:rPr>
          <w:rFonts w:ascii="Arial" w:eastAsia="Times New Roman" w:hAnsi="Arial" w:cs="Arial"/>
          <w:color w:val="1A0DAB"/>
          <w:sz w:val="18"/>
          <w:szCs w:val="18"/>
          <w:u w:val="single"/>
        </w:rPr>
        <w:t>[5]</w:t>
      </w:r>
      <w:r w:rsidRPr="00851945">
        <w:rPr>
          <w:rFonts w:ascii="Arial" w:eastAsia="Times New Roman" w:hAnsi="Arial" w:cs="Arial"/>
          <w:color w:val="222222"/>
          <w:sz w:val="18"/>
          <w:szCs w:val="18"/>
        </w:rPr>
        <w:fldChar w:fldCharType="end"/>
      </w:r>
      <w:bookmarkEnd w:id="37"/>
      <w:r w:rsidRPr="00851945">
        <w:rPr>
          <w:rFonts w:ascii="Arial" w:eastAsia="Times New Roman" w:hAnsi="Arial" w:cs="Arial"/>
          <w:color w:val="222222"/>
          <w:sz w:val="18"/>
          <w:szCs w:val="18"/>
        </w:rPr>
        <w:t xml:space="preserve"> After the Commissioner issued his final order in this case, this court reversed the Court of Appeals decision in </w:t>
      </w:r>
      <w:hyperlink r:id="rId136" w:history="1">
        <w:r w:rsidRPr="00851945">
          <w:rPr>
            <w:rFonts w:ascii="Arial" w:eastAsia="Times New Roman" w:hAnsi="Arial" w:cs="Arial"/>
            <w:i/>
            <w:iCs/>
            <w:color w:val="1A0DAB"/>
            <w:sz w:val="18"/>
            <w:szCs w:val="18"/>
            <w:u w:val="single"/>
          </w:rPr>
          <w:t>Washburn. Washburn v. Columbia Forest Products, Inc.,</w:t>
        </w:r>
        <w:r w:rsidRPr="00851945">
          <w:rPr>
            <w:rFonts w:ascii="Arial" w:eastAsia="Times New Roman" w:hAnsi="Arial" w:cs="Arial"/>
            <w:color w:val="1A0DAB"/>
            <w:sz w:val="18"/>
            <w:szCs w:val="18"/>
            <w:u w:val="single"/>
          </w:rPr>
          <w:t xml:space="preserve"> 340 Or. </w:t>
        </w:r>
        <w:proofErr w:type="gramStart"/>
        <w:r w:rsidRPr="00851945">
          <w:rPr>
            <w:rFonts w:ascii="Arial" w:eastAsia="Times New Roman" w:hAnsi="Arial" w:cs="Arial"/>
            <w:color w:val="1A0DAB"/>
            <w:sz w:val="18"/>
            <w:szCs w:val="18"/>
            <w:u w:val="single"/>
          </w:rPr>
          <w:t>469, 480, 134 P.3d 161 (2006)</w:t>
        </w:r>
      </w:hyperlink>
      <w:r w:rsidRPr="00851945">
        <w:rPr>
          <w:rFonts w:ascii="Arial" w:eastAsia="Times New Roman" w:hAnsi="Arial" w:cs="Arial"/>
          <w:color w:val="222222"/>
          <w:sz w:val="18"/>
          <w:szCs w:val="18"/>
        </w:rPr>
        <w:t>.</w:t>
      </w:r>
      <w:proofErr w:type="gramEnd"/>
      <w:r w:rsidRPr="00851945">
        <w:rPr>
          <w:rFonts w:ascii="Arial" w:eastAsia="Times New Roman" w:hAnsi="Arial" w:cs="Arial"/>
          <w:color w:val="222222"/>
          <w:sz w:val="18"/>
          <w:szCs w:val="18"/>
        </w:rPr>
        <w:t xml:space="preserve"> This court held that the employee in </w:t>
      </w:r>
      <w:r w:rsidRPr="00851945">
        <w:rPr>
          <w:rFonts w:ascii="Arial" w:eastAsia="Times New Roman" w:hAnsi="Arial" w:cs="Arial"/>
          <w:i/>
          <w:iCs/>
          <w:color w:val="222222"/>
          <w:sz w:val="18"/>
          <w:szCs w:val="18"/>
        </w:rPr>
        <w:t>Washburn</w:t>
      </w:r>
      <w:r w:rsidRPr="00851945">
        <w:rPr>
          <w:rFonts w:ascii="Arial" w:eastAsia="Times New Roman" w:hAnsi="Arial" w:cs="Arial"/>
          <w:color w:val="222222"/>
          <w:sz w:val="18"/>
          <w:szCs w:val="18"/>
        </w:rPr>
        <w:t xml:space="preserve"> was not a disabled person within the meaning of ORS chapter 659A. </w:t>
      </w:r>
      <w:r w:rsidRPr="00851945">
        <w:rPr>
          <w:rFonts w:ascii="Arial" w:eastAsia="Times New Roman" w:hAnsi="Arial" w:cs="Arial"/>
          <w:i/>
          <w:iCs/>
          <w:color w:val="222222"/>
          <w:sz w:val="18"/>
          <w:szCs w:val="18"/>
        </w:rPr>
        <w:t>Id.</w:t>
      </w:r>
      <w:r w:rsidRPr="00851945">
        <w:rPr>
          <w:rFonts w:ascii="Arial" w:eastAsia="Times New Roman" w:hAnsi="Arial" w:cs="Arial"/>
          <w:color w:val="222222"/>
          <w:sz w:val="18"/>
          <w:szCs w:val="18"/>
        </w:rPr>
        <w:t xml:space="preserve"> at 479, </w:t>
      </w:r>
      <w:proofErr w:type="gramStart"/>
      <w:r w:rsidRPr="00851945">
        <w:rPr>
          <w:rFonts w:ascii="Arial" w:eastAsia="Times New Roman" w:hAnsi="Arial" w:cs="Arial"/>
          <w:color w:val="222222"/>
          <w:sz w:val="18"/>
          <w:szCs w:val="18"/>
        </w:rPr>
        <w:t>134 P.3d 161</w:t>
      </w:r>
      <w:proofErr w:type="gramEnd"/>
      <w:r w:rsidRPr="00851945">
        <w:rPr>
          <w:rFonts w:ascii="Arial" w:eastAsia="Times New Roman" w:hAnsi="Arial" w:cs="Arial"/>
          <w:color w:val="222222"/>
          <w:sz w:val="18"/>
          <w:szCs w:val="18"/>
        </w:rPr>
        <w:t xml:space="preserve">. Given that holding, this court did not reach the other issues that the Court of Appeals had addressed in </w:t>
      </w:r>
      <w:r w:rsidRPr="00851945">
        <w:rPr>
          <w:rFonts w:ascii="Arial" w:eastAsia="Times New Roman" w:hAnsi="Arial" w:cs="Arial"/>
          <w:i/>
          <w:iCs/>
          <w:color w:val="222222"/>
          <w:sz w:val="18"/>
          <w:szCs w:val="18"/>
        </w:rPr>
        <w:t>Washburn.</w:t>
      </w:r>
      <w:r w:rsidRPr="00851945">
        <w:rPr>
          <w:rFonts w:ascii="Arial" w:eastAsia="Times New Roman" w:hAnsi="Arial" w:cs="Arial"/>
          <w:color w:val="222222"/>
          <w:sz w:val="18"/>
          <w:szCs w:val="18"/>
        </w:rPr>
        <w:t xml:space="preserve"> After this court's decision in </w:t>
      </w:r>
      <w:r w:rsidRPr="00851945">
        <w:rPr>
          <w:rFonts w:ascii="Arial" w:eastAsia="Times New Roman" w:hAnsi="Arial" w:cs="Arial"/>
          <w:i/>
          <w:iCs/>
          <w:color w:val="222222"/>
          <w:sz w:val="18"/>
          <w:szCs w:val="18"/>
        </w:rPr>
        <w:t>Washburn,</w:t>
      </w:r>
      <w:r w:rsidRPr="00851945">
        <w:rPr>
          <w:rFonts w:ascii="Arial" w:eastAsia="Times New Roman" w:hAnsi="Arial" w:cs="Arial"/>
          <w:color w:val="222222"/>
          <w:sz w:val="18"/>
          <w:szCs w:val="18"/>
        </w:rPr>
        <w:t xml:space="preserve"> the commissioner withdrew the final order and issued a revised order on reconsideration, adhering to his earlier resolution of employer's affirmative defenses in this case.</w:t>
      </w:r>
    </w:p>
    <w:bookmarkStart w:id="38" w:name="[6]"/>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18"/>
          <w:szCs w:val="18"/>
        </w:rPr>
      </w:pPr>
      <w:r w:rsidRPr="00851945">
        <w:rPr>
          <w:rFonts w:ascii="Arial" w:eastAsia="Times New Roman" w:hAnsi="Arial" w:cs="Arial"/>
          <w:color w:val="222222"/>
          <w:sz w:val="18"/>
          <w:szCs w:val="18"/>
        </w:rPr>
        <w:fldChar w:fldCharType="begin"/>
      </w:r>
      <w:r w:rsidRPr="00851945">
        <w:rPr>
          <w:rFonts w:ascii="Arial" w:eastAsia="Times New Roman" w:hAnsi="Arial" w:cs="Arial"/>
          <w:color w:val="222222"/>
          <w:sz w:val="18"/>
          <w:szCs w:val="18"/>
        </w:rPr>
        <w:instrText xml:space="preserve"> HYPERLINK "http://scholar.google.com/scholar_case?case=12394314758738904678&amp;q=emerald+marijuana&amp;hl=en&amp;as_sdt=4,38" \l "r[6]" </w:instrText>
      </w:r>
      <w:r w:rsidRPr="00851945">
        <w:rPr>
          <w:rFonts w:ascii="Arial" w:eastAsia="Times New Roman" w:hAnsi="Arial" w:cs="Arial"/>
          <w:color w:val="222222"/>
          <w:sz w:val="18"/>
          <w:szCs w:val="18"/>
        </w:rPr>
        <w:fldChar w:fldCharType="separate"/>
      </w:r>
      <w:r w:rsidRPr="00851945">
        <w:rPr>
          <w:rFonts w:ascii="Arial" w:eastAsia="Times New Roman" w:hAnsi="Arial" w:cs="Arial"/>
          <w:color w:val="1A0DAB"/>
          <w:sz w:val="18"/>
          <w:szCs w:val="18"/>
          <w:u w:val="single"/>
        </w:rPr>
        <w:t>[6]</w:t>
      </w:r>
      <w:r w:rsidRPr="00851945">
        <w:rPr>
          <w:rFonts w:ascii="Arial" w:eastAsia="Times New Roman" w:hAnsi="Arial" w:cs="Arial"/>
          <w:color w:val="222222"/>
          <w:sz w:val="18"/>
          <w:szCs w:val="18"/>
        </w:rPr>
        <w:fldChar w:fldCharType="end"/>
      </w:r>
      <w:bookmarkEnd w:id="38"/>
      <w:r w:rsidRPr="00851945">
        <w:rPr>
          <w:rFonts w:ascii="Arial" w:eastAsia="Times New Roman" w:hAnsi="Arial" w:cs="Arial"/>
          <w:color w:val="222222"/>
          <w:sz w:val="18"/>
          <w:szCs w:val="18"/>
        </w:rPr>
        <w:t xml:space="preserve"> As noted, employer moved to reopen the record on the ground that, as a result of </w:t>
      </w:r>
      <w:proofErr w:type="spellStart"/>
      <w:r w:rsidRPr="00851945">
        <w:rPr>
          <w:rFonts w:ascii="Arial" w:eastAsia="Times New Roman" w:hAnsi="Arial" w:cs="Arial"/>
          <w:i/>
          <w:iCs/>
          <w:color w:val="222222"/>
          <w:sz w:val="18"/>
          <w:szCs w:val="18"/>
        </w:rPr>
        <w:t>Raich</w:t>
      </w:r>
      <w:proofErr w:type="spellEnd"/>
      <w:r w:rsidRPr="00851945">
        <w:rPr>
          <w:rFonts w:ascii="Arial" w:eastAsia="Times New Roman" w:hAnsi="Arial" w:cs="Arial"/>
          <w:i/>
          <w:iCs/>
          <w:color w:val="222222"/>
          <w:sz w:val="18"/>
          <w:szCs w:val="18"/>
        </w:rPr>
        <w:t>,</w:t>
      </w:r>
      <w:r w:rsidRPr="00851945">
        <w:rPr>
          <w:rFonts w:ascii="Arial" w:eastAsia="Times New Roman" w:hAnsi="Arial" w:cs="Arial"/>
          <w:color w:val="222222"/>
          <w:sz w:val="18"/>
          <w:szCs w:val="18"/>
        </w:rPr>
        <w:t xml:space="preserve"> "states may not authorize the use of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for medicinal purposes" and that "[t]he impact of this decision is that [employer] should prevail on its Fourth and Fifth Affirmative Defenses." Employer thus told the agency that the Controlled Substances Act, as interpreted in </w:t>
      </w:r>
      <w:proofErr w:type="spellStart"/>
      <w:r w:rsidRPr="00851945">
        <w:rPr>
          <w:rFonts w:ascii="Arial" w:eastAsia="Times New Roman" w:hAnsi="Arial" w:cs="Arial"/>
          <w:i/>
          <w:iCs/>
          <w:color w:val="222222"/>
          <w:sz w:val="18"/>
          <w:szCs w:val="18"/>
        </w:rPr>
        <w:t>Raich</w:t>
      </w:r>
      <w:proofErr w:type="spellEnd"/>
      <w:r w:rsidRPr="00851945">
        <w:rPr>
          <w:rFonts w:ascii="Arial" w:eastAsia="Times New Roman" w:hAnsi="Arial" w:cs="Arial"/>
          <w:i/>
          <w:iCs/>
          <w:color w:val="222222"/>
          <w:sz w:val="18"/>
          <w:szCs w:val="18"/>
        </w:rPr>
        <w:t>,</w:t>
      </w:r>
      <w:r w:rsidRPr="00851945">
        <w:rPr>
          <w:rFonts w:ascii="Arial" w:eastAsia="Times New Roman" w:hAnsi="Arial" w:cs="Arial"/>
          <w:color w:val="222222"/>
          <w:sz w:val="18"/>
          <w:szCs w:val="18"/>
        </w:rPr>
        <w:t xml:space="preserve"> compelled its interpretation of Oregon's antidiscrimination statutes. Additionally, in response to BOLI's arguments, employer contended that the Controlled Substances Act preempted the Oregon Medical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Act.</w:t>
      </w:r>
    </w:p>
    <w:bookmarkStart w:id="39" w:name="[7]"/>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18"/>
          <w:szCs w:val="18"/>
        </w:rPr>
      </w:pPr>
      <w:r w:rsidRPr="00851945">
        <w:rPr>
          <w:rFonts w:ascii="Arial" w:eastAsia="Times New Roman" w:hAnsi="Arial" w:cs="Arial"/>
          <w:color w:val="222222"/>
          <w:sz w:val="18"/>
          <w:szCs w:val="18"/>
        </w:rPr>
        <w:fldChar w:fldCharType="begin"/>
      </w:r>
      <w:r w:rsidRPr="00851945">
        <w:rPr>
          <w:rFonts w:ascii="Arial" w:eastAsia="Times New Roman" w:hAnsi="Arial" w:cs="Arial"/>
          <w:color w:val="222222"/>
          <w:sz w:val="18"/>
          <w:szCs w:val="18"/>
        </w:rPr>
        <w:instrText xml:space="preserve"> HYPERLINK "http://scholar.google.com/scholar_case?case=12394314758738904678&amp;q=emerald+marijuana&amp;hl=en&amp;as_sdt=4,38" \l "r[7]" </w:instrText>
      </w:r>
      <w:r w:rsidRPr="00851945">
        <w:rPr>
          <w:rFonts w:ascii="Arial" w:eastAsia="Times New Roman" w:hAnsi="Arial" w:cs="Arial"/>
          <w:color w:val="222222"/>
          <w:sz w:val="18"/>
          <w:szCs w:val="18"/>
        </w:rPr>
        <w:fldChar w:fldCharType="separate"/>
      </w:r>
      <w:r w:rsidRPr="00851945">
        <w:rPr>
          <w:rFonts w:ascii="Arial" w:eastAsia="Times New Roman" w:hAnsi="Arial" w:cs="Arial"/>
          <w:color w:val="1A0DAB"/>
          <w:sz w:val="18"/>
          <w:szCs w:val="18"/>
          <w:u w:val="single"/>
        </w:rPr>
        <w:t>[7]</w:t>
      </w:r>
      <w:r w:rsidRPr="00851945">
        <w:rPr>
          <w:rFonts w:ascii="Arial" w:eastAsia="Times New Roman" w:hAnsi="Arial" w:cs="Arial"/>
          <w:color w:val="222222"/>
          <w:sz w:val="18"/>
          <w:szCs w:val="18"/>
        </w:rPr>
        <w:fldChar w:fldCharType="end"/>
      </w:r>
      <w:bookmarkEnd w:id="39"/>
      <w:r w:rsidRPr="00851945">
        <w:rPr>
          <w:rFonts w:ascii="Arial" w:eastAsia="Times New Roman" w:hAnsi="Arial" w:cs="Arial"/>
          <w:color w:val="222222"/>
          <w:sz w:val="18"/>
          <w:szCs w:val="18"/>
        </w:rPr>
        <w:t xml:space="preserve"> We note that both California and Washington have considered whether their state medical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laws give medical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users either a claim under California's fair employment law or an implied right of action under Washington law against an employer that discharges or refuses to hire a person for off-work medical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use. </w:t>
      </w:r>
      <w:r w:rsidRPr="00851945">
        <w:rPr>
          <w:rFonts w:ascii="Arial" w:eastAsia="Times New Roman" w:hAnsi="Arial" w:cs="Arial"/>
          <w:i/>
          <w:iCs/>
          <w:color w:val="222222"/>
          <w:sz w:val="18"/>
          <w:szCs w:val="18"/>
        </w:rPr>
        <w:t xml:space="preserve">See </w:t>
      </w:r>
      <w:hyperlink r:id="rId137" w:history="1">
        <w:r w:rsidRPr="00851945">
          <w:rPr>
            <w:rFonts w:ascii="Arial" w:eastAsia="Times New Roman" w:hAnsi="Arial" w:cs="Arial"/>
            <w:i/>
            <w:iCs/>
            <w:color w:val="1A0DAB"/>
            <w:sz w:val="18"/>
            <w:szCs w:val="18"/>
            <w:u w:val="single"/>
          </w:rPr>
          <w:t>Roe v. TeleTech Customer Care Management,</w:t>
        </w:r>
        <w:r w:rsidRPr="00851945">
          <w:rPr>
            <w:rFonts w:ascii="Arial" w:eastAsia="Times New Roman" w:hAnsi="Arial" w:cs="Arial"/>
            <w:color w:val="1A0DAB"/>
            <w:sz w:val="18"/>
            <w:szCs w:val="18"/>
            <w:u w:val="single"/>
          </w:rPr>
          <w:t xml:space="preserve"> </w:t>
        </w:r>
        <w:proofErr w:type="gramStart"/>
        <w:r w:rsidRPr="00851945">
          <w:rPr>
            <w:rFonts w:ascii="Arial" w:eastAsia="Times New Roman" w:hAnsi="Arial" w:cs="Arial"/>
            <w:color w:val="1A0DAB"/>
            <w:sz w:val="18"/>
            <w:szCs w:val="18"/>
            <w:u w:val="single"/>
          </w:rPr>
          <w:t xml:space="preserve">152 </w:t>
        </w:r>
        <w:proofErr w:type="spellStart"/>
        <w:r w:rsidRPr="00851945">
          <w:rPr>
            <w:rFonts w:ascii="Arial" w:eastAsia="Times New Roman" w:hAnsi="Arial" w:cs="Arial"/>
            <w:color w:val="1A0DAB"/>
            <w:sz w:val="18"/>
            <w:szCs w:val="18"/>
            <w:u w:val="single"/>
          </w:rPr>
          <w:t>Wash.App</w:t>
        </w:r>
        <w:proofErr w:type="spellEnd"/>
        <w:proofErr w:type="gramEnd"/>
        <w:r w:rsidRPr="00851945">
          <w:rPr>
            <w:rFonts w:ascii="Arial" w:eastAsia="Times New Roman" w:hAnsi="Arial" w:cs="Arial"/>
            <w:color w:val="1A0DAB"/>
            <w:sz w:val="18"/>
            <w:szCs w:val="18"/>
            <w:u w:val="single"/>
          </w:rPr>
          <w:t xml:space="preserve">. </w:t>
        </w:r>
        <w:proofErr w:type="gramStart"/>
        <w:r w:rsidRPr="00851945">
          <w:rPr>
            <w:rFonts w:ascii="Arial" w:eastAsia="Times New Roman" w:hAnsi="Arial" w:cs="Arial"/>
            <w:color w:val="1A0DAB"/>
            <w:sz w:val="18"/>
            <w:szCs w:val="18"/>
            <w:u w:val="single"/>
          </w:rPr>
          <w:t>388, 216 P.3d 1055 (2009)</w:t>
        </w:r>
      </w:hyperlink>
      <w:r w:rsidRPr="00851945">
        <w:rPr>
          <w:rFonts w:ascii="Arial" w:eastAsia="Times New Roman" w:hAnsi="Arial" w:cs="Arial"/>
          <w:color w:val="222222"/>
          <w:sz w:val="18"/>
          <w:szCs w:val="18"/>
        </w:rPr>
        <w:t xml:space="preserve">; </w:t>
      </w:r>
      <w:hyperlink r:id="rId138" w:history="1">
        <w:r w:rsidRPr="00851945">
          <w:rPr>
            <w:rFonts w:ascii="Arial" w:eastAsia="Times New Roman" w:hAnsi="Arial" w:cs="Arial"/>
            <w:i/>
            <w:iCs/>
            <w:color w:val="1A0DAB"/>
            <w:sz w:val="18"/>
            <w:szCs w:val="18"/>
            <w:u w:val="single"/>
          </w:rPr>
          <w:t xml:space="preserve">Ross v. </w:t>
        </w:r>
        <w:proofErr w:type="spellStart"/>
        <w:r w:rsidRPr="00851945">
          <w:rPr>
            <w:rFonts w:ascii="Arial" w:eastAsia="Times New Roman" w:hAnsi="Arial" w:cs="Arial"/>
            <w:i/>
            <w:iCs/>
            <w:color w:val="1A0DAB"/>
            <w:sz w:val="18"/>
            <w:szCs w:val="18"/>
            <w:u w:val="single"/>
          </w:rPr>
          <w:t>RagingWire</w:t>
        </w:r>
        <w:proofErr w:type="spellEnd"/>
        <w:r w:rsidRPr="00851945">
          <w:rPr>
            <w:rFonts w:ascii="Arial" w:eastAsia="Times New Roman" w:hAnsi="Arial" w:cs="Arial"/>
            <w:i/>
            <w:iCs/>
            <w:color w:val="1A0DAB"/>
            <w:sz w:val="18"/>
            <w:szCs w:val="18"/>
            <w:u w:val="single"/>
          </w:rPr>
          <w:t xml:space="preserve"> Telecommunications, Inc.,</w:t>
        </w:r>
        <w:r w:rsidRPr="00851945">
          <w:rPr>
            <w:rFonts w:ascii="Arial" w:eastAsia="Times New Roman" w:hAnsi="Arial" w:cs="Arial"/>
            <w:color w:val="1A0DAB"/>
            <w:sz w:val="18"/>
            <w:szCs w:val="18"/>
            <w:u w:val="single"/>
          </w:rPr>
          <w:t xml:space="preserve"> 42 Cal.4th 920, 70 Cal.Rptr.3d 382, 174 P.3d 200 (2008)</w:t>
        </w:r>
      </w:hyperlink>
      <w:r w:rsidRPr="00851945">
        <w:rPr>
          <w:rFonts w:ascii="Arial" w:eastAsia="Times New Roman" w:hAnsi="Arial" w:cs="Arial"/>
          <w:color w:val="222222"/>
          <w:sz w:val="18"/>
          <w:szCs w:val="18"/>
        </w:rPr>
        <w:t>.</w:t>
      </w:r>
      <w:proofErr w:type="gramEnd"/>
      <w:r w:rsidRPr="00851945">
        <w:rPr>
          <w:rFonts w:ascii="Arial" w:eastAsia="Times New Roman" w:hAnsi="Arial" w:cs="Arial"/>
          <w:color w:val="222222"/>
          <w:sz w:val="18"/>
          <w:szCs w:val="18"/>
        </w:rPr>
        <w:t xml:space="preserve"> Both the California and Washington courts have held that, in enacting their states' medical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laws, the voters did not intend to affect an employer's ability to take adverse employment actions based on the use of medical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w:t>
      </w:r>
      <w:hyperlink r:id="rId139" w:history="1">
        <w:r w:rsidRPr="00851945">
          <w:rPr>
            <w:rFonts w:ascii="Arial" w:eastAsia="Times New Roman" w:hAnsi="Arial" w:cs="Arial"/>
            <w:i/>
            <w:iCs/>
            <w:color w:val="1A0DAB"/>
            <w:sz w:val="18"/>
            <w:szCs w:val="18"/>
            <w:u w:val="single"/>
          </w:rPr>
          <w:t>Roe,</w:t>
        </w:r>
        <w:r w:rsidRPr="00851945">
          <w:rPr>
            <w:rFonts w:ascii="Arial" w:eastAsia="Times New Roman" w:hAnsi="Arial" w:cs="Arial"/>
            <w:color w:val="1A0DAB"/>
            <w:sz w:val="18"/>
            <w:szCs w:val="18"/>
            <w:u w:val="single"/>
          </w:rPr>
          <w:t xml:space="preserve"> </w:t>
        </w:r>
        <w:proofErr w:type="gramStart"/>
        <w:r w:rsidRPr="00851945">
          <w:rPr>
            <w:rFonts w:ascii="Arial" w:eastAsia="Times New Roman" w:hAnsi="Arial" w:cs="Arial"/>
            <w:color w:val="1A0DAB"/>
            <w:sz w:val="18"/>
            <w:szCs w:val="18"/>
            <w:u w:val="single"/>
          </w:rPr>
          <w:t>216 P.3d at 1058-61</w:t>
        </w:r>
        <w:proofErr w:type="gramEnd"/>
      </w:hyperlink>
      <w:r w:rsidRPr="00851945">
        <w:rPr>
          <w:rFonts w:ascii="Arial" w:eastAsia="Times New Roman" w:hAnsi="Arial" w:cs="Arial"/>
          <w:color w:val="222222"/>
          <w:sz w:val="18"/>
          <w:szCs w:val="18"/>
        </w:rPr>
        <w:t xml:space="preserve">; </w:t>
      </w:r>
      <w:hyperlink r:id="rId140" w:history="1">
        <w:r w:rsidRPr="00851945">
          <w:rPr>
            <w:rFonts w:ascii="Arial" w:eastAsia="Times New Roman" w:hAnsi="Arial" w:cs="Arial"/>
            <w:i/>
            <w:iCs/>
            <w:color w:val="1A0DAB"/>
            <w:sz w:val="18"/>
            <w:szCs w:val="18"/>
            <w:u w:val="single"/>
          </w:rPr>
          <w:t>Ross,</w:t>
        </w:r>
        <w:r w:rsidRPr="00851945">
          <w:rPr>
            <w:rFonts w:ascii="Arial" w:eastAsia="Times New Roman" w:hAnsi="Arial" w:cs="Arial"/>
            <w:color w:val="1A0DAB"/>
            <w:sz w:val="18"/>
            <w:szCs w:val="18"/>
            <w:u w:val="single"/>
          </w:rPr>
          <w:t xml:space="preserve"> 70 Cal.Rptr.3d 382, 174 P.3d at 204</w:t>
        </w:r>
      </w:hyperlink>
      <w:r w:rsidRPr="00851945">
        <w:rPr>
          <w:rFonts w:ascii="Arial" w:eastAsia="Times New Roman" w:hAnsi="Arial" w:cs="Arial"/>
          <w:color w:val="222222"/>
          <w:sz w:val="18"/>
          <w:szCs w:val="18"/>
        </w:rPr>
        <w:t xml:space="preserve">. Accordingly, in both Washington and California, employers do not have to accommodate their employees' off-site medical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use. We reach the same conclusion, although our analysis differs because Oregon has chosen to write its laws differently.</w:t>
      </w:r>
    </w:p>
    <w:bookmarkStart w:id="40" w:name="[8]"/>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18"/>
          <w:szCs w:val="18"/>
        </w:rPr>
      </w:pPr>
      <w:r w:rsidRPr="00851945">
        <w:rPr>
          <w:rFonts w:ascii="Arial" w:eastAsia="Times New Roman" w:hAnsi="Arial" w:cs="Arial"/>
          <w:color w:val="222222"/>
          <w:sz w:val="18"/>
          <w:szCs w:val="18"/>
        </w:rPr>
        <w:fldChar w:fldCharType="begin"/>
      </w:r>
      <w:r w:rsidRPr="00851945">
        <w:rPr>
          <w:rFonts w:ascii="Arial" w:eastAsia="Times New Roman" w:hAnsi="Arial" w:cs="Arial"/>
          <w:color w:val="222222"/>
          <w:sz w:val="18"/>
          <w:szCs w:val="18"/>
        </w:rPr>
        <w:instrText xml:space="preserve"> HYPERLINK "http://scholar.google.com/scholar_case?case=12394314758738904678&amp;q=emerald+marijuana&amp;hl=en&amp;as_sdt=4,38" \l "r[8]" </w:instrText>
      </w:r>
      <w:r w:rsidRPr="00851945">
        <w:rPr>
          <w:rFonts w:ascii="Arial" w:eastAsia="Times New Roman" w:hAnsi="Arial" w:cs="Arial"/>
          <w:color w:val="222222"/>
          <w:sz w:val="18"/>
          <w:szCs w:val="18"/>
        </w:rPr>
        <w:fldChar w:fldCharType="separate"/>
      </w:r>
      <w:r w:rsidRPr="00851945">
        <w:rPr>
          <w:rFonts w:ascii="Arial" w:eastAsia="Times New Roman" w:hAnsi="Arial" w:cs="Arial"/>
          <w:color w:val="1A0DAB"/>
          <w:sz w:val="18"/>
          <w:szCs w:val="18"/>
          <w:u w:val="single"/>
        </w:rPr>
        <w:t>[8]</w:t>
      </w:r>
      <w:r w:rsidRPr="00851945">
        <w:rPr>
          <w:rFonts w:ascii="Arial" w:eastAsia="Times New Roman" w:hAnsi="Arial" w:cs="Arial"/>
          <w:color w:val="222222"/>
          <w:sz w:val="18"/>
          <w:szCs w:val="18"/>
        </w:rPr>
        <w:fldChar w:fldCharType="end"/>
      </w:r>
      <w:bookmarkEnd w:id="40"/>
      <w:r w:rsidRPr="00851945">
        <w:rPr>
          <w:rFonts w:ascii="Arial" w:eastAsia="Times New Roman" w:hAnsi="Arial" w:cs="Arial"/>
          <w:color w:val="222222"/>
          <w:sz w:val="18"/>
          <w:szCs w:val="18"/>
        </w:rPr>
        <w:t xml:space="preserve"> ORS 659A.124 lists exceptions to that rule, none of which applies here. </w:t>
      </w:r>
      <w:r w:rsidRPr="00851945">
        <w:rPr>
          <w:rFonts w:ascii="Arial" w:eastAsia="Times New Roman" w:hAnsi="Arial" w:cs="Arial"/>
          <w:i/>
          <w:iCs/>
          <w:color w:val="222222"/>
          <w:sz w:val="18"/>
          <w:szCs w:val="18"/>
        </w:rPr>
        <w:t>See</w:t>
      </w:r>
      <w:r w:rsidRPr="00851945">
        <w:rPr>
          <w:rFonts w:ascii="Arial" w:eastAsia="Times New Roman" w:hAnsi="Arial" w:cs="Arial"/>
          <w:color w:val="222222"/>
          <w:sz w:val="18"/>
          <w:szCs w:val="18"/>
        </w:rPr>
        <w:t xml:space="preserve"> ORS 659A.124(2) (recognizing exceptions for persons who either are participating in or have successfully completed a supervised drug rehabilitation program and are no longer engaging in the illegal use of drugs).</w:t>
      </w:r>
    </w:p>
    <w:bookmarkStart w:id="41" w:name="[9]"/>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18"/>
          <w:szCs w:val="18"/>
        </w:rPr>
      </w:pPr>
      <w:r w:rsidRPr="00851945">
        <w:rPr>
          <w:rFonts w:ascii="Arial" w:eastAsia="Times New Roman" w:hAnsi="Arial" w:cs="Arial"/>
          <w:color w:val="222222"/>
          <w:sz w:val="18"/>
          <w:szCs w:val="18"/>
        </w:rPr>
        <w:fldChar w:fldCharType="begin"/>
      </w:r>
      <w:r w:rsidRPr="00851945">
        <w:rPr>
          <w:rFonts w:ascii="Arial" w:eastAsia="Times New Roman" w:hAnsi="Arial" w:cs="Arial"/>
          <w:color w:val="222222"/>
          <w:sz w:val="18"/>
          <w:szCs w:val="18"/>
        </w:rPr>
        <w:instrText xml:space="preserve"> HYPERLINK "http://scholar.google.com/scholar_case?case=12394314758738904678&amp;q=emerald+marijuana&amp;hl=en&amp;as_sdt=4,38" \l "r[9]" </w:instrText>
      </w:r>
      <w:r w:rsidRPr="00851945">
        <w:rPr>
          <w:rFonts w:ascii="Arial" w:eastAsia="Times New Roman" w:hAnsi="Arial" w:cs="Arial"/>
          <w:color w:val="222222"/>
          <w:sz w:val="18"/>
          <w:szCs w:val="18"/>
        </w:rPr>
        <w:fldChar w:fldCharType="separate"/>
      </w:r>
      <w:r w:rsidRPr="00851945">
        <w:rPr>
          <w:rFonts w:ascii="Arial" w:eastAsia="Times New Roman" w:hAnsi="Arial" w:cs="Arial"/>
          <w:color w:val="1A0DAB"/>
          <w:sz w:val="18"/>
          <w:szCs w:val="18"/>
          <w:u w:val="single"/>
        </w:rPr>
        <w:t>[9]</w:t>
      </w:r>
      <w:r w:rsidRPr="00851945">
        <w:rPr>
          <w:rFonts w:ascii="Arial" w:eastAsia="Times New Roman" w:hAnsi="Arial" w:cs="Arial"/>
          <w:color w:val="222222"/>
          <w:sz w:val="18"/>
          <w:szCs w:val="18"/>
        </w:rPr>
        <w:fldChar w:fldCharType="end"/>
      </w:r>
      <w:bookmarkEnd w:id="41"/>
      <w:r w:rsidRPr="00851945">
        <w:rPr>
          <w:rFonts w:ascii="Arial" w:eastAsia="Times New Roman" w:hAnsi="Arial" w:cs="Arial"/>
          <w:color w:val="222222"/>
          <w:sz w:val="18"/>
          <w:szCs w:val="18"/>
        </w:rPr>
        <w:t xml:space="preserve"> Before 2009, </w:t>
      </w:r>
      <w:r w:rsidRPr="00851945">
        <w:rPr>
          <w:rFonts w:ascii="Arial" w:eastAsia="Times New Roman" w:hAnsi="Arial" w:cs="Arial"/>
          <w:i/>
          <w:iCs/>
          <w:color w:val="222222"/>
          <w:sz w:val="18"/>
          <w:szCs w:val="18"/>
        </w:rPr>
        <w:t>former</w:t>
      </w:r>
      <w:r w:rsidRPr="00851945">
        <w:rPr>
          <w:rFonts w:ascii="Arial" w:eastAsia="Times New Roman" w:hAnsi="Arial" w:cs="Arial"/>
          <w:color w:val="222222"/>
          <w:sz w:val="18"/>
          <w:szCs w:val="18"/>
        </w:rPr>
        <w:t xml:space="preserve"> ORS </w:t>
      </w:r>
      <w:proofErr w:type="gramStart"/>
      <w:r w:rsidRPr="00851945">
        <w:rPr>
          <w:rFonts w:ascii="Arial" w:eastAsia="Times New Roman" w:hAnsi="Arial" w:cs="Arial"/>
          <w:color w:val="222222"/>
          <w:sz w:val="18"/>
          <w:szCs w:val="18"/>
        </w:rPr>
        <w:t>659A.100(</w:t>
      </w:r>
      <w:proofErr w:type="gramEnd"/>
      <w:r w:rsidRPr="00851945">
        <w:rPr>
          <w:rFonts w:ascii="Arial" w:eastAsia="Times New Roman" w:hAnsi="Arial" w:cs="Arial"/>
          <w:color w:val="222222"/>
          <w:sz w:val="18"/>
          <w:szCs w:val="18"/>
        </w:rPr>
        <w:t xml:space="preserve">4) (2001) defined the phrase "illegal use of drugs." In 2009, the legislature renumbered that definition as ORS </w:t>
      </w:r>
      <w:proofErr w:type="gramStart"/>
      <w:r w:rsidRPr="00851945">
        <w:rPr>
          <w:rFonts w:ascii="Arial" w:eastAsia="Times New Roman" w:hAnsi="Arial" w:cs="Arial"/>
          <w:color w:val="222222"/>
          <w:sz w:val="18"/>
          <w:szCs w:val="18"/>
        </w:rPr>
        <w:t>659A.122(</w:t>
      </w:r>
      <w:proofErr w:type="gramEnd"/>
      <w:r w:rsidRPr="00851945">
        <w:rPr>
          <w:rFonts w:ascii="Arial" w:eastAsia="Times New Roman" w:hAnsi="Arial" w:cs="Arial"/>
          <w:color w:val="222222"/>
          <w:sz w:val="18"/>
          <w:szCs w:val="18"/>
        </w:rPr>
        <w:t>2).</w:t>
      </w:r>
    </w:p>
    <w:bookmarkStart w:id="42" w:name="[10]"/>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18"/>
          <w:szCs w:val="18"/>
        </w:rPr>
      </w:pPr>
      <w:r w:rsidRPr="00851945">
        <w:rPr>
          <w:rFonts w:ascii="Arial" w:eastAsia="Times New Roman" w:hAnsi="Arial" w:cs="Arial"/>
          <w:color w:val="222222"/>
          <w:sz w:val="18"/>
          <w:szCs w:val="18"/>
        </w:rPr>
        <w:lastRenderedPageBreak/>
        <w:fldChar w:fldCharType="begin"/>
      </w:r>
      <w:r w:rsidRPr="00851945">
        <w:rPr>
          <w:rFonts w:ascii="Arial" w:eastAsia="Times New Roman" w:hAnsi="Arial" w:cs="Arial"/>
          <w:color w:val="222222"/>
          <w:sz w:val="18"/>
          <w:szCs w:val="18"/>
        </w:rPr>
        <w:instrText xml:space="preserve"> HYPERLINK "http://scholar.google.com/scholar_case?case=12394314758738904678&amp;q=emerald+marijuana&amp;hl=en&amp;as_sdt=4,38" \l "r[10]" </w:instrText>
      </w:r>
      <w:r w:rsidRPr="00851945">
        <w:rPr>
          <w:rFonts w:ascii="Arial" w:eastAsia="Times New Roman" w:hAnsi="Arial" w:cs="Arial"/>
          <w:color w:val="222222"/>
          <w:sz w:val="18"/>
          <w:szCs w:val="18"/>
        </w:rPr>
        <w:fldChar w:fldCharType="separate"/>
      </w:r>
      <w:r w:rsidRPr="00851945">
        <w:rPr>
          <w:rFonts w:ascii="Arial" w:eastAsia="Times New Roman" w:hAnsi="Arial" w:cs="Arial"/>
          <w:color w:val="1A0DAB"/>
          <w:sz w:val="18"/>
          <w:szCs w:val="18"/>
          <w:u w:val="single"/>
        </w:rPr>
        <w:t>[10]</w:t>
      </w:r>
      <w:r w:rsidRPr="00851945">
        <w:rPr>
          <w:rFonts w:ascii="Arial" w:eastAsia="Times New Roman" w:hAnsi="Arial" w:cs="Arial"/>
          <w:color w:val="222222"/>
          <w:sz w:val="18"/>
          <w:szCs w:val="18"/>
        </w:rPr>
        <w:fldChar w:fldCharType="end"/>
      </w:r>
      <w:bookmarkEnd w:id="42"/>
      <w:r w:rsidRPr="00851945">
        <w:rPr>
          <w:rFonts w:ascii="Arial" w:eastAsia="Times New Roman" w:hAnsi="Arial" w:cs="Arial"/>
          <w:color w:val="222222"/>
          <w:sz w:val="18"/>
          <w:szCs w:val="18"/>
        </w:rPr>
        <w:t xml:space="preserve"> The ballot title for the Oregon Medical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Act confirms that interpretation of the act. </w:t>
      </w:r>
      <w:r w:rsidRPr="00851945">
        <w:rPr>
          <w:rFonts w:ascii="Arial" w:eastAsia="Times New Roman" w:hAnsi="Arial" w:cs="Arial"/>
          <w:i/>
          <w:iCs/>
          <w:color w:val="222222"/>
          <w:sz w:val="18"/>
          <w:szCs w:val="18"/>
        </w:rPr>
        <w:t xml:space="preserve">See </w:t>
      </w:r>
      <w:hyperlink r:id="rId141" w:history="1">
        <w:r w:rsidRPr="00851945">
          <w:rPr>
            <w:rFonts w:ascii="Arial" w:eastAsia="Times New Roman" w:hAnsi="Arial" w:cs="Arial"/>
            <w:i/>
            <w:iCs/>
            <w:color w:val="1A0DAB"/>
            <w:sz w:val="18"/>
            <w:szCs w:val="18"/>
            <w:u w:val="single"/>
          </w:rPr>
          <w:t>State v. Gaines,</w:t>
        </w:r>
        <w:r w:rsidRPr="00851945">
          <w:rPr>
            <w:rFonts w:ascii="Arial" w:eastAsia="Times New Roman" w:hAnsi="Arial" w:cs="Arial"/>
            <w:color w:val="1A0DAB"/>
            <w:sz w:val="18"/>
            <w:szCs w:val="18"/>
            <w:u w:val="single"/>
          </w:rPr>
          <w:t xml:space="preserve"> 346 Or. 160, 172, 206 P.3d 1042 (2009)</w:t>
        </w:r>
      </w:hyperlink>
      <w:r w:rsidRPr="00851945">
        <w:rPr>
          <w:rFonts w:ascii="Arial" w:eastAsia="Times New Roman" w:hAnsi="Arial" w:cs="Arial"/>
          <w:color w:val="222222"/>
          <w:sz w:val="18"/>
          <w:szCs w:val="18"/>
        </w:rPr>
        <w:t xml:space="preserve"> (looking to legislative history to confirm text). The caption, "yes" vote result statement, and summary of the ballot title focused on the fact that the measure, if enacted, would allow permit-holders to use medical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and referred to the exemption from criminal laws only at the end of the summary. </w:t>
      </w:r>
      <w:proofErr w:type="gramStart"/>
      <w:r w:rsidRPr="00851945">
        <w:rPr>
          <w:rFonts w:ascii="Arial" w:eastAsia="Times New Roman" w:hAnsi="Arial" w:cs="Arial"/>
          <w:color w:val="222222"/>
          <w:sz w:val="18"/>
          <w:szCs w:val="18"/>
        </w:rPr>
        <w:t>Official Voters' Pamphlet, Nov 3, 1998, 148.</w:t>
      </w:r>
      <w:proofErr w:type="gramEnd"/>
      <w:r w:rsidRPr="00851945">
        <w:rPr>
          <w:rFonts w:ascii="Arial" w:eastAsia="Times New Roman" w:hAnsi="Arial" w:cs="Arial"/>
          <w:color w:val="222222"/>
          <w:sz w:val="18"/>
          <w:szCs w:val="18"/>
        </w:rPr>
        <w:t xml:space="preserve"> The caption stated that the measure "[a]</w:t>
      </w:r>
      <w:proofErr w:type="spellStart"/>
      <w:r w:rsidRPr="00851945">
        <w:rPr>
          <w:rFonts w:ascii="Arial" w:eastAsia="Times New Roman" w:hAnsi="Arial" w:cs="Arial"/>
          <w:color w:val="222222"/>
          <w:sz w:val="18"/>
          <w:szCs w:val="18"/>
        </w:rPr>
        <w:t>llows</w:t>
      </w:r>
      <w:proofErr w:type="spellEnd"/>
      <w:r w:rsidRPr="00851945">
        <w:rPr>
          <w:rFonts w:ascii="Arial" w:eastAsia="Times New Roman" w:hAnsi="Arial" w:cs="Arial"/>
          <w:color w:val="222222"/>
          <w:sz w:val="18"/>
          <w:szCs w:val="18"/>
        </w:rPr>
        <w:t xml:space="preserve"> medical use of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within limits; establishes permit system." The "yes" vote result statement was to the same effect, and the summary stated that current law prohibits the possession and manufacture of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but that the measure "allows engaging in, assisting in, </w:t>
      </w:r>
      <w:proofErr w:type="gramStart"/>
      <w:r w:rsidRPr="00851945">
        <w:rPr>
          <w:rFonts w:ascii="Arial" w:eastAsia="Times New Roman" w:hAnsi="Arial" w:cs="Arial"/>
          <w:color w:val="222222"/>
          <w:sz w:val="18"/>
          <w:szCs w:val="18"/>
        </w:rPr>
        <w:t>medical</w:t>
      </w:r>
      <w:proofErr w:type="gramEnd"/>
      <w:r w:rsidRPr="00851945">
        <w:rPr>
          <w:rFonts w:ascii="Arial" w:eastAsia="Times New Roman" w:hAnsi="Arial" w:cs="Arial"/>
          <w:color w:val="222222"/>
          <w:sz w:val="18"/>
          <w:szCs w:val="18"/>
        </w:rPr>
        <w:t xml:space="preserve"> use of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w:t>
      </w:r>
      <w:r w:rsidRPr="00851945">
        <w:rPr>
          <w:rFonts w:ascii="Arial" w:eastAsia="Times New Roman" w:hAnsi="Arial" w:cs="Arial"/>
          <w:i/>
          <w:iCs/>
          <w:color w:val="222222"/>
          <w:sz w:val="18"/>
          <w:szCs w:val="18"/>
        </w:rPr>
        <w:t>Id.</w:t>
      </w:r>
      <w:r w:rsidRPr="00851945">
        <w:rPr>
          <w:rFonts w:ascii="Arial" w:eastAsia="Times New Roman" w:hAnsi="Arial" w:cs="Arial"/>
          <w:color w:val="222222"/>
          <w:sz w:val="18"/>
          <w:szCs w:val="18"/>
        </w:rPr>
        <w:t xml:space="preserve"> Only at the end of the summary did the ballot title add that the measure "excepts permit holder or applicant from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criminal statutes." </w:t>
      </w:r>
      <w:r w:rsidRPr="00851945">
        <w:rPr>
          <w:rFonts w:ascii="Arial" w:eastAsia="Times New Roman" w:hAnsi="Arial" w:cs="Arial"/>
          <w:i/>
          <w:iCs/>
          <w:color w:val="222222"/>
          <w:sz w:val="18"/>
          <w:szCs w:val="18"/>
        </w:rPr>
        <w:t>Id.</w:t>
      </w:r>
    </w:p>
    <w:bookmarkStart w:id="43" w:name="[11]"/>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18"/>
          <w:szCs w:val="18"/>
        </w:rPr>
      </w:pPr>
      <w:r w:rsidRPr="00851945">
        <w:rPr>
          <w:rFonts w:ascii="Arial" w:eastAsia="Times New Roman" w:hAnsi="Arial" w:cs="Arial"/>
          <w:color w:val="222222"/>
          <w:sz w:val="18"/>
          <w:szCs w:val="18"/>
        </w:rPr>
        <w:fldChar w:fldCharType="begin"/>
      </w:r>
      <w:r w:rsidRPr="00851945">
        <w:rPr>
          <w:rFonts w:ascii="Arial" w:eastAsia="Times New Roman" w:hAnsi="Arial" w:cs="Arial"/>
          <w:color w:val="222222"/>
          <w:sz w:val="18"/>
          <w:szCs w:val="18"/>
        </w:rPr>
        <w:instrText xml:space="preserve"> HYPERLINK "http://scholar.google.com/scholar_case?case=12394314758738904678&amp;q=emerald+marijuana&amp;hl=en&amp;as_sdt=4,38" \l "r[11]" </w:instrText>
      </w:r>
      <w:r w:rsidRPr="00851945">
        <w:rPr>
          <w:rFonts w:ascii="Arial" w:eastAsia="Times New Roman" w:hAnsi="Arial" w:cs="Arial"/>
          <w:color w:val="222222"/>
          <w:sz w:val="18"/>
          <w:szCs w:val="18"/>
        </w:rPr>
        <w:fldChar w:fldCharType="separate"/>
      </w:r>
      <w:r w:rsidRPr="00851945">
        <w:rPr>
          <w:rFonts w:ascii="Arial" w:eastAsia="Times New Roman" w:hAnsi="Arial" w:cs="Arial"/>
          <w:color w:val="1A0DAB"/>
          <w:sz w:val="18"/>
          <w:szCs w:val="18"/>
          <w:u w:val="single"/>
        </w:rPr>
        <w:t>[11]</w:t>
      </w:r>
      <w:r w:rsidRPr="00851945">
        <w:rPr>
          <w:rFonts w:ascii="Arial" w:eastAsia="Times New Roman" w:hAnsi="Arial" w:cs="Arial"/>
          <w:color w:val="222222"/>
          <w:sz w:val="18"/>
          <w:szCs w:val="18"/>
        </w:rPr>
        <w:fldChar w:fldCharType="end"/>
      </w:r>
      <w:bookmarkEnd w:id="43"/>
      <w:r w:rsidRPr="00851945">
        <w:rPr>
          <w:rFonts w:ascii="Arial" w:eastAsia="Times New Roman" w:hAnsi="Arial" w:cs="Arial"/>
          <w:color w:val="222222"/>
          <w:sz w:val="18"/>
          <w:szCs w:val="18"/>
        </w:rPr>
        <w:t xml:space="preserve"> The Oregon Medical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Act also exempts medical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use from state criminal liability. </w:t>
      </w:r>
      <w:r w:rsidRPr="00851945">
        <w:rPr>
          <w:rFonts w:ascii="Arial" w:eastAsia="Times New Roman" w:hAnsi="Arial" w:cs="Arial"/>
          <w:i/>
          <w:iCs/>
          <w:color w:val="222222"/>
          <w:sz w:val="18"/>
          <w:szCs w:val="18"/>
        </w:rPr>
        <w:t>See</w:t>
      </w:r>
      <w:r w:rsidRPr="00851945">
        <w:rPr>
          <w:rFonts w:ascii="Arial" w:eastAsia="Times New Roman" w:hAnsi="Arial" w:cs="Arial"/>
          <w:color w:val="222222"/>
          <w:sz w:val="18"/>
          <w:szCs w:val="18"/>
        </w:rPr>
        <w:t xml:space="preserve"> ORS 475.309(1) (excepting persons holding registry identification cards from certain state criminal prohibitions); ORS 475.319 (creating an affirmative defense to certain criminal prohibitions for persons who do not hold registry identification cards but who have complied with the conditions necessary to obtain one). Because ORS 659A.122(2) excludes from the definition of illegal use of drugs only those uses authorized by state law, the provisions of the Oregon Medical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Act that are relevant here are those provisions that affirmatively authorize the use of medical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as opposed to those provisions that exempt its use from criminal liability.</w:t>
      </w:r>
    </w:p>
    <w:bookmarkStart w:id="44" w:name="[12]"/>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18"/>
          <w:szCs w:val="18"/>
        </w:rPr>
      </w:pPr>
      <w:r w:rsidRPr="00851945">
        <w:rPr>
          <w:rFonts w:ascii="Arial" w:eastAsia="Times New Roman" w:hAnsi="Arial" w:cs="Arial"/>
          <w:color w:val="222222"/>
          <w:sz w:val="18"/>
          <w:szCs w:val="18"/>
        </w:rPr>
        <w:fldChar w:fldCharType="begin"/>
      </w:r>
      <w:r w:rsidRPr="00851945">
        <w:rPr>
          <w:rFonts w:ascii="Arial" w:eastAsia="Times New Roman" w:hAnsi="Arial" w:cs="Arial"/>
          <w:color w:val="222222"/>
          <w:sz w:val="18"/>
          <w:szCs w:val="18"/>
        </w:rPr>
        <w:instrText xml:space="preserve"> HYPERLINK "http://scholar.google.com/scholar_case?case=12394314758738904678&amp;q=emerald+marijuana&amp;hl=en&amp;as_sdt=4,38" \l "r[12]" </w:instrText>
      </w:r>
      <w:r w:rsidRPr="00851945">
        <w:rPr>
          <w:rFonts w:ascii="Arial" w:eastAsia="Times New Roman" w:hAnsi="Arial" w:cs="Arial"/>
          <w:color w:val="222222"/>
          <w:sz w:val="18"/>
          <w:szCs w:val="18"/>
        </w:rPr>
        <w:fldChar w:fldCharType="separate"/>
      </w:r>
      <w:r w:rsidRPr="00851945">
        <w:rPr>
          <w:rFonts w:ascii="Arial" w:eastAsia="Times New Roman" w:hAnsi="Arial" w:cs="Arial"/>
          <w:color w:val="1A0DAB"/>
          <w:sz w:val="18"/>
          <w:szCs w:val="18"/>
          <w:u w:val="single"/>
        </w:rPr>
        <w:t>[12]</w:t>
      </w:r>
      <w:r w:rsidRPr="00851945">
        <w:rPr>
          <w:rFonts w:ascii="Arial" w:eastAsia="Times New Roman" w:hAnsi="Arial" w:cs="Arial"/>
          <w:color w:val="222222"/>
          <w:sz w:val="18"/>
          <w:szCs w:val="18"/>
        </w:rPr>
        <w:fldChar w:fldCharType="end"/>
      </w:r>
      <w:bookmarkEnd w:id="44"/>
      <w:r w:rsidRPr="00851945">
        <w:rPr>
          <w:rFonts w:ascii="Arial" w:eastAsia="Times New Roman" w:hAnsi="Arial" w:cs="Arial"/>
          <w:color w:val="222222"/>
          <w:sz w:val="18"/>
          <w:szCs w:val="18"/>
        </w:rPr>
        <w:t xml:space="preserve"> The only issue that employer's preemption argument raises is whether federal law preempts ORS 475.306(1) to the extent that it authorizes the use of medical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In holding that federal law does preempt that subsection, we do not hold that federal law preempts the other sections of the Oregon Medical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Act that exempt medical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use from criminal liability. We also express no opinion on the question whether the legislature, if it chose to do so and worded Oregon's disability law differently, could require employers to reasonably accommodate disabled employees who use medical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to treat their disability. Rather, our opinion arises from and is limited to the laws that the Oregon legislature has enacted.</w:t>
      </w:r>
    </w:p>
    <w:bookmarkStart w:id="45" w:name="[13]"/>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18"/>
          <w:szCs w:val="18"/>
        </w:rPr>
      </w:pPr>
      <w:r w:rsidRPr="00851945">
        <w:rPr>
          <w:rFonts w:ascii="Arial" w:eastAsia="Times New Roman" w:hAnsi="Arial" w:cs="Arial"/>
          <w:color w:val="222222"/>
          <w:sz w:val="18"/>
          <w:szCs w:val="18"/>
        </w:rPr>
        <w:fldChar w:fldCharType="begin"/>
      </w:r>
      <w:r w:rsidRPr="00851945">
        <w:rPr>
          <w:rFonts w:ascii="Arial" w:eastAsia="Times New Roman" w:hAnsi="Arial" w:cs="Arial"/>
          <w:color w:val="222222"/>
          <w:sz w:val="18"/>
          <w:szCs w:val="18"/>
        </w:rPr>
        <w:instrText xml:space="preserve"> HYPERLINK "http://scholar.google.com/scholar_case?case=12394314758738904678&amp;q=emerald+marijuana&amp;hl=en&amp;as_sdt=4,38" \l "r[13]" </w:instrText>
      </w:r>
      <w:r w:rsidRPr="00851945">
        <w:rPr>
          <w:rFonts w:ascii="Arial" w:eastAsia="Times New Roman" w:hAnsi="Arial" w:cs="Arial"/>
          <w:color w:val="222222"/>
          <w:sz w:val="18"/>
          <w:szCs w:val="18"/>
        </w:rPr>
        <w:fldChar w:fldCharType="separate"/>
      </w:r>
      <w:r w:rsidRPr="00851945">
        <w:rPr>
          <w:rFonts w:ascii="Arial" w:eastAsia="Times New Roman" w:hAnsi="Arial" w:cs="Arial"/>
          <w:color w:val="1A0DAB"/>
          <w:sz w:val="18"/>
          <w:szCs w:val="18"/>
          <w:u w:val="single"/>
        </w:rPr>
        <w:t>[13]</w:t>
      </w:r>
      <w:r w:rsidRPr="00851945">
        <w:rPr>
          <w:rFonts w:ascii="Arial" w:eastAsia="Times New Roman" w:hAnsi="Arial" w:cs="Arial"/>
          <w:color w:val="222222"/>
          <w:sz w:val="18"/>
          <w:szCs w:val="18"/>
        </w:rPr>
        <w:fldChar w:fldCharType="end"/>
      </w:r>
      <w:bookmarkEnd w:id="45"/>
      <w:r w:rsidRPr="00851945">
        <w:rPr>
          <w:rFonts w:ascii="Arial" w:eastAsia="Times New Roman" w:hAnsi="Arial" w:cs="Arial"/>
          <w:color w:val="222222"/>
          <w:sz w:val="18"/>
          <w:szCs w:val="18"/>
        </w:rPr>
        <w:t xml:space="preserve"> Two subsections of the Controlled Substances Act accomplish that result. Section 823(f) directs the Attorney General to register physicians and other practitioners to dispense controlled substances listed in Schedule II through V. 21 U.S.C. § 823(f). Section 822(b) authorizes persons registered with the Attorney General to dispense controlled substances "to the extent authorized by their registration and in conformity with the other provisions of this subchapter." </w:t>
      </w:r>
      <w:proofErr w:type="gramStart"/>
      <w:r w:rsidRPr="00851945">
        <w:rPr>
          <w:rFonts w:ascii="Arial" w:eastAsia="Times New Roman" w:hAnsi="Arial" w:cs="Arial"/>
          <w:color w:val="222222"/>
          <w:sz w:val="18"/>
          <w:szCs w:val="18"/>
        </w:rPr>
        <w:t>21 U.S.C. § 822(b).</w:t>
      </w:r>
      <w:proofErr w:type="gramEnd"/>
    </w:p>
    <w:bookmarkStart w:id="46" w:name="[14]"/>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18"/>
          <w:szCs w:val="18"/>
        </w:rPr>
      </w:pPr>
      <w:r w:rsidRPr="00851945">
        <w:rPr>
          <w:rFonts w:ascii="Arial" w:eastAsia="Times New Roman" w:hAnsi="Arial" w:cs="Arial"/>
          <w:color w:val="222222"/>
          <w:sz w:val="18"/>
          <w:szCs w:val="18"/>
        </w:rPr>
        <w:fldChar w:fldCharType="begin"/>
      </w:r>
      <w:r w:rsidRPr="00851945">
        <w:rPr>
          <w:rFonts w:ascii="Arial" w:eastAsia="Times New Roman" w:hAnsi="Arial" w:cs="Arial"/>
          <w:color w:val="222222"/>
          <w:sz w:val="18"/>
          <w:szCs w:val="18"/>
        </w:rPr>
        <w:instrText xml:space="preserve"> HYPERLINK "http://scholar.google.com/scholar_case?case=12394314758738904678&amp;q=emerald+marijuana&amp;hl=en&amp;as_sdt=4,38" \l "r[14]" </w:instrText>
      </w:r>
      <w:r w:rsidRPr="00851945">
        <w:rPr>
          <w:rFonts w:ascii="Arial" w:eastAsia="Times New Roman" w:hAnsi="Arial" w:cs="Arial"/>
          <w:color w:val="222222"/>
          <w:sz w:val="18"/>
          <w:szCs w:val="18"/>
        </w:rPr>
        <w:fldChar w:fldCharType="separate"/>
      </w:r>
      <w:r w:rsidRPr="00851945">
        <w:rPr>
          <w:rFonts w:ascii="Arial" w:eastAsia="Times New Roman" w:hAnsi="Arial" w:cs="Arial"/>
          <w:color w:val="1A0DAB"/>
          <w:sz w:val="18"/>
          <w:szCs w:val="18"/>
          <w:u w:val="single"/>
        </w:rPr>
        <w:t>[14]</w:t>
      </w:r>
      <w:r w:rsidRPr="00851945">
        <w:rPr>
          <w:rFonts w:ascii="Arial" w:eastAsia="Times New Roman" w:hAnsi="Arial" w:cs="Arial"/>
          <w:color w:val="222222"/>
          <w:sz w:val="18"/>
          <w:szCs w:val="18"/>
        </w:rPr>
        <w:fldChar w:fldCharType="end"/>
      </w:r>
      <w:bookmarkEnd w:id="46"/>
      <w:r w:rsidRPr="00851945">
        <w:rPr>
          <w:rFonts w:ascii="Arial" w:eastAsia="Times New Roman" w:hAnsi="Arial" w:cs="Arial"/>
          <w:color w:val="222222"/>
          <w:sz w:val="18"/>
          <w:szCs w:val="18"/>
        </w:rPr>
        <w:t xml:space="preserve"> The specific question in </w:t>
      </w:r>
      <w:r w:rsidRPr="00851945">
        <w:rPr>
          <w:rFonts w:ascii="Arial" w:eastAsia="Times New Roman" w:hAnsi="Arial" w:cs="Arial"/>
          <w:i/>
          <w:iCs/>
          <w:color w:val="222222"/>
          <w:sz w:val="18"/>
          <w:szCs w:val="18"/>
        </w:rPr>
        <w:t>Oakland Cannabis Buyers' Cooperative</w:t>
      </w:r>
      <w:r w:rsidRPr="00851945">
        <w:rPr>
          <w:rFonts w:ascii="Arial" w:eastAsia="Times New Roman" w:hAnsi="Arial" w:cs="Arial"/>
          <w:color w:val="222222"/>
          <w:sz w:val="18"/>
          <w:szCs w:val="18"/>
        </w:rPr>
        <w:t xml:space="preserve"> was whether there was a medical necessity exception for manufacturing and distributing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The Court explained, however, that, "[l]</w:t>
      </w:r>
      <w:proofErr w:type="spellStart"/>
      <w:r w:rsidRPr="00851945">
        <w:rPr>
          <w:rFonts w:ascii="Arial" w:eastAsia="Times New Roman" w:hAnsi="Arial" w:cs="Arial"/>
          <w:color w:val="222222"/>
          <w:sz w:val="18"/>
          <w:szCs w:val="18"/>
        </w:rPr>
        <w:t>est</w:t>
      </w:r>
      <w:proofErr w:type="spellEnd"/>
      <w:r w:rsidRPr="00851945">
        <w:rPr>
          <w:rFonts w:ascii="Arial" w:eastAsia="Times New Roman" w:hAnsi="Arial" w:cs="Arial"/>
          <w:color w:val="222222"/>
          <w:sz w:val="18"/>
          <w:szCs w:val="18"/>
        </w:rPr>
        <w:t xml:space="preserve"> there be any confusion, we clarify that nothing in our analysis, or the statute, suggests that a distinction should be drawn between the prohibitions on manufacturing and distributing and the other prohibitions in the Controlled Substances Act." </w:t>
      </w:r>
      <w:hyperlink r:id="rId142" w:history="1">
        <w:r w:rsidRPr="00851945">
          <w:rPr>
            <w:rFonts w:ascii="Arial" w:eastAsia="Times New Roman" w:hAnsi="Arial" w:cs="Arial"/>
            <w:color w:val="1A0DAB"/>
            <w:sz w:val="18"/>
            <w:szCs w:val="18"/>
            <w:u w:val="single"/>
          </w:rPr>
          <w:t xml:space="preserve">532 U.S. at 494 n. 7, 121 </w:t>
        </w:r>
        <w:proofErr w:type="spellStart"/>
        <w:r w:rsidRPr="00851945">
          <w:rPr>
            <w:rFonts w:ascii="Arial" w:eastAsia="Times New Roman" w:hAnsi="Arial" w:cs="Arial"/>
            <w:color w:val="1A0DAB"/>
            <w:sz w:val="18"/>
            <w:szCs w:val="18"/>
            <w:u w:val="single"/>
          </w:rPr>
          <w:t>S.Ct</w:t>
        </w:r>
        <w:proofErr w:type="spellEnd"/>
        <w:r w:rsidRPr="00851945">
          <w:rPr>
            <w:rFonts w:ascii="Arial" w:eastAsia="Times New Roman" w:hAnsi="Arial" w:cs="Arial"/>
            <w:color w:val="1A0DAB"/>
            <w:sz w:val="18"/>
            <w:szCs w:val="18"/>
            <w:u w:val="single"/>
          </w:rPr>
          <w:t>. 1711</w:t>
        </w:r>
      </w:hyperlink>
      <w:r w:rsidRPr="00851945">
        <w:rPr>
          <w:rFonts w:ascii="Arial" w:eastAsia="Times New Roman" w:hAnsi="Arial" w:cs="Arial"/>
          <w:color w:val="222222"/>
          <w:sz w:val="18"/>
          <w:szCs w:val="18"/>
        </w:rPr>
        <w:t>.</w:t>
      </w:r>
    </w:p>
    <w:bookmarkStart w:id="47" w:name="[15]"/>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18"/>
          <w:szCs w:val="18"/>
        </w:rPr>
      </w:pPr>
      <w:r w:rsidRPr="00851945">
        <w:rPr>
          <w:rFonts w:ascii="Arial" w:eastAsia="Times New Roman" w:hAnsi="Arial" w:cs="Arial"/>
          <w:color w:val="222222"/>
          <w:sz w:val="18"/>
          <w:szCs w:val="18"/>
        </w:rPr>
        <w:fldChar w:fldCharType="begin"/>
      </w:r>
      <w:r w:rsidRPr="00851945">
        <w:rPr>
          <w:rFonts w:ascii="Arial" w:eastAsia="Times New Roman" w:hAnsi="Arial" w:cs="Arial"/>
          <w:color w:val="222222"/>
          <w:sz w:val="18"/>
          <w:szCs w:val="18"/>
        </w:rPr>
        <w:instrText xml:space="preserve"> HYPERLINK "http://scholar.google.com/scholar_case?case=12394314758738904678&amp;q=emerald+marijuana&amp;hl=en&amp;as_sdt=4,38" \l "r[15]" </w:instrText>
      </w:r>
      <w:r w:rsidRPr="00851945">
        <w:rPr>
          <w:rFonts w:ascii="Arial" w:eastAsia="Times New Roman" w:hAnsi="Arial" w:cs="Arial"/>
          <w:color w:val="222222"/>
          <w:sz w:val="18"/>
          <w:szCs w:val="18"/>
        </w:rPr>
        <w:fldChar w:fldCharType="separate"/>
      </w:r>
      <w:r w:rsidRPr="00851945">
        <w:rPr>
          <w:rFonts w:ascii="Arial" w:eastAsia="Times New Roman" w:hAnsi="Arial" w:cs="Arial"/>
          <w:color w:val="1A0DAB"/>
          <w:sz w:val="18"/>
          <w:szCs w:val="18"/>
          <w:u w:val="single"/>
        </w:rPr>
        <w:t>[15]</w:t>
      </w:r>
      <w:r w:rsidRPr="00851945">
        <w:rPr>
          <w:rFonts w:ascii="Arial" w:eastAsia="Times New Roman" w:hAnsi="Arial" w:cs="Arial"/>
          <w:color w:val="222222"/>
          <w:sz w:val="18"/>
          <w:szCs w:val="18"/>
        </w:rPr>
        <w:fldChar w:fldCharType="end"/>
      </w:r>
      <w:bookmarkEnd w:id="47"/>
      <w:r w:rsidRPr="00851945">
        <w:rPr>
          <w:rFonts w:ascii="Arial" w:eastAsia="Times New Roman" w:hAnsi="Arial" w:cs="Arial"/>
          <w:color w:val="222222"/>
          <w:sz w:val="18"/>
          <w:szCs w:val="18"/>
        </w:rPr>
        <w:t xml:space="preserve"> The provision at issue in </w:t>
      </w:r>
      <w:r w:rsidRPr="00851945">
        <w:rPr>
          <w:rFonts w:ascii="Arial" w:eastAsia="Times New Roman" w:hAnsi="Arial" w:cs="Arial"/>
          <w:i/>
          <w:iCs/>
          <w:color w:val="222222"/>
          <w:sz w:val="18"/>
          <w:szCs w:val="18"/>
        </w:rPr>
        <w:t>Wyeth</w:t>
      </w:r>
      <w:r w:rsidRPr="00851945">
        <w:rPr>
          <w:rFonts w:ascii="Arial" w:eastAsia="Times New Roman" w:hAnsi="Arial" w:cs="Arial"/>
          <w:color w:val="222222"/>
          <w:sz w:val="18"/>
          <w:szCs w:val="18"/>
        </w:rPr>
        <w:t xml:space="preserve"> provided that the federal statute did not preempt state law unless there was a "direct and positive" conflict between state and federal law. </w:t>
      </w:r>
      <w:hyperlink r:id="rId143" w:history="1">
        <w:r w:rsidRPr="00851945">
          <w:rPr>
            <w:rFonts w:ascii="Arial" w:eastAsia="Times New Roman" w:hAnsi="Arial" w:cs="Arial"/>
            <w:i/>
            <w:iCs/>
            <w:color w:val="1A0DAB"/>
            <w:sz w:val="18"/>
            <w:szCs w:val="18"/>
            <w:u w:val="single"/>
          </w:rPr>
          <w:t>Wyeth,</w:t>
        </w:r>
        <w:r w:rsidRPr="00851945">
          <w:rPr>
            <w:rFonts w:ascii="Arial" w:eastAsia="Times New Roman" w:hAnsi="Arial" w:cs="Arial"/>
            <w:color w:val="1A0DAB"/>
            <w:sz w:val="18"/>
            <w:szCs w:val="18"/>
            <w:u w:val="single"/>
          </w:rPr>
          <w:t xml:space="preserve"> 129 </w:t>
        </w:r>
        <w:proofErr w:type="spellStart"/>
        <w:r w:rsidRPr="00851945">
          <w:rPr>
            <w:rFonts w:ascii="Arial" w:eastAsia="Times New Roman" w:hAnsi="Arial" w:cs="Arial"/>
            <w:color w:val="1A0DAB"/>
            <w:sz w:val="18"/>
            <w:szCs w:val="18"/>
            <w:u w:val="single"/>
          </w:rPr>
          <w:t>S.Ct</w:t>
        </w:r>
        <w:proofErr w:type="spellEnd"/>
        <w:r w:rsidRPr="00851945">
          <w:rPr>
            <w:rFonts w:ascii="Arial" w:eastAsia="Times New Roman" w:hAnsi="Arial" w:cs="Arial"/>
            <w:color w:val="1A0DAB"/>
            <w:sz w:val="18"/>
            <w:szCs w:val="18"/>
            <w:u w:val="single"/>
          </w:rPr>
          <w:t>. at 1196</w:t>
        </w:r>
      </w:hyperlink>
      <w:r w:rsidRPr="00851945">
        <w:rPr>
          <w:rFonts w:ascii="Arial" w:eastAsia="Times New Roman" w:hAnsi="Arial" w:cs="Arial"/>
          <w:color w:val="222222"/>
          <w:sz w:val="18"/>
          <w:szCs w:val="18"/>
        </w:rPr>
        <w:t xml:space="preserve">. At first blush, one might think that the Court would have looked to the standard that Congress had expressly provided—whether there is a "direct and positive conflict" between the state and federal laws—to determine the extent to which federal law preempts state law. </w:t>
      </w:r>
      <w:r w:rsidRPr="00851945">
        <w:rPr>
          <w:rFonts w:ascii="Arial" w:eastAsia="Times New Roman" w:hAnsi="Arial" w:cs="Arial"/>
          <w:i/>
          <w:iCs/>
          <w:color w:val="222222"/>
          <w:sz w:val="18"/>
          <w:szCs w:val="18"/>
        </w:rPr>
        <w:t xml:space="preserve">See </w:t>
      </w:r>
      <w:hyperlink r:id="rId144" w:history="1">
        <w:proofErr w:type="spellStart"/>
        <w:r w:rsidRPr="00851945">
          <w:rPr>
            <w:rFonts w:ascii="Arial" w:eastAsia="Times New Roman" w:hAnsi="Arial" w:cs="Arial"/>
            <w:i/>
            <w:iCs/>
            <w:color w:val="1A0DAB"/>
            <w:sz w:val="18"/>
            <w:szCs w:val="18"/>
            <w:u w:val="single"/>
          </w:rPr>
          <w:t>Cipollone</w:t>
        </w:r>
        <w:proofErr w:type="spellEnd"/>
        <w:r w:rsidRPr="00851945">
          <w:rPr>
            <w:rFonts w:ascii="Arial" w:eastAsia="Times New Roman" w:hAnsi="Arial" w:cs="Arial"/>
            <w:i/>
            <w:iCs/>
            <w:color w:val="1A0DAB"/>
            <w:sz w:val="18"/>
            <w:szCs w:val="18"/>
            <w:u w:val="single"/>
          </w:rPr>
          <w:t xml:space="preserve"> v. Liggett Group, Inc.,</w:t>
        </w:r>
        <w:r w:rsidRPr="00851945">
          <w:rPr>
            <w:rFonts w:ascii="Arial" w:eastAsia="Times New Roman" w:hAnsi="Arial" w:cs="Arial"/>
            <w:color w:val="1A0DAB"/>
            <w:sz w:val="18"/>
            <w:szCs w:val="18"/>
            <w:u w:val="single"/>
          </w:rPr>
          <w:t xml:space="preserve"> 505 U.S. 504, 517, 112 </w:t>
        </w:r>
        <w:proofErr w:type="spellStart"/>
        <w:r w:rsidRPr="00851945">
          <w:rPr>
            <w:rFonts w:ascii="Arial" w:eastAsia="Times New Roman" w:hAnsi="Arial" w:cs="Arial"/>
            <w:color w:val="1A0DAB"/>
            <w:sz w:val="18"/>
            <w:szCs w:val="18"/>
            <w:u w:val="single"/>
          </w:rPr>
          <w:t>S.Ct</w:t>
        </w:r>
        <w:proofErr w:type="spellEnd"/>
        <w:r w:rsidRPr="00851945">
          <w:rPr>
            <w:rFonts w:ascii="Arial" w:eastAsia="Times New Roman" w:hAnsi="Arial" w:cs="Arial"/>
            <w:color w:val="1A0DAB"/>
            <w:sz w:val="18"/>
            <w:szCs w:val="18"/>
            <w:u w:val="single"/>
          </w:rPr>
          <w:t>. 2608, 120 L.Ed.2d 407 (1992)</w:t>
        </w:r>
      </w:hyperlink>
      <w:r w:rsidRPr="00851945">
        <w:rPr>
          <w:rFonts w:ascii="Arial" w:eastAsia="Times New Roman" w:hAnsi="Arial" w:cs="Arial"/>
          <w:color w:val="222222"/>
          <w:sz w:val="18"/>
          <w:szCs w:val="18"/>
        </w:rPr>
        <w:t xml:space="preserve"> (holding that the preemptive effect of a federal act is "governed entirely" by an express preemption provision). Implied preemption, however, addresses a similar issue, and the Court used an implied preemption analysis in </w:t>
      </w:r>
      <w:r w:rsidRPr="00851945">
        <w:rPr>
          <w:rFonts w:ascii="Arial" w:eastAsia="Times New Roman" w:hAnsi="Arial" w:cs="Arial"/>
          <w:i/>
          <w:iCs/>
          <w:color w:val="222222"/>
          <w:sz w:val="18"/>
          <w:szCs w:val="18"/>
        </w:rPr>
        <w:t>Wyeth</w:t>
      </w:r>
      <w:r w:rsidRPr="00851945">
        <w:rPr>
          <w:rFonts w:ascii="Arial" w:eastAsia="Times New Roman" w:hAnsi="Arial" w:cs="Arial"/>
          <w:color w:val="222222"/>
          <w:sz w:val="18"/>
          <w:szCs w:val="18"/>
        </w:rPr>
        <w:t xml:space="preserve"> without any discussion. </w:t>
      </w:r>
      <w:hyperlink r:id="rId145" w:history="1">
        <w:r w:rsidRPr="00851945">
          <w:rPr>
            <w:rFonts w:ascii="Arial" w:eastAsia="Times New Roman" w:hAnsi="Arial" w:cs="Arial"/>
            <w:color w:val="1A0DAB"/>
            <w:sz w:val="18"/>
            <w:szCs w:val="18"/>
            <w:u w:val="single"/>
          </w:rPr>
          <w:t xml:space="preserve">129 </w:t>
        </w:r>
        <w:proofErr w:type="spellStart"/>
        <w:r w:rsidRPr="00851945">
          <w:rPr>
            <w:rFonts w:ascii="Arial" w:eastAsia="Times New Roman" w:hAnsi="Arial" w:cs="Arial"/>
            <w:color w:val="1A0DAB"/>
            <w:sz w:val="18"/>
            <w:szCs w:val="18"/>
            <w:u w:val="single"/>
          </w:rPr>
          <w:t>S.Ct</w:t>
        </w:r>
        <w:proofErr w:type="spellEnd"/>
        <w:r w:rsidRPr="00851945">
          <w:rPr>
            <w:rFonts w:ascii="Arial" w:eastAsia="Times New Roman" w:hAnsi="Arial" w:cs="Arial"/>
            <w:color w:val="1A0DAB"/>
            <w:sz w:val="18"/>
            <w:szCs w:val="18"/>
            <w:u w:val="single"/>
          </w:rPr>
          <w:t>. at 1196-1200</w:t>
        </w:r>
      </w:hyperlink>
      <w:r w:rsidRPr="00851945">
        <w:rPr>
          <w:rFonts w:ascii="Arial" w:eastAsia="Times New Roman" w:hAnsi="Arial" w:cs="Arial"/>
          <w:color w:val="222222"/>
          <w:sz w:val="18"/>
          <w:szCs w:val="18"/>
        </w:rPr>
        <w:t xml:space="preserve">. Given </w:t>
      </w:r>
      <w:r w:rsidRPr="00851945">
        <w:rPr>
          <w:rFonts w:ascii="Arial" w:eastAsia="Times New Roman" w:hAnsi="Arial" w:cs="Arial"/>
          <w:i/>
          <w:iCs/>
          <w:color w:val="222222"/>
          <w:sz w:val="18"/>
          <w:szCs w:val="18"/>
        </w:rPr>
        <w:t>Wyeth,</w:t>
      </w:r>
      <w:r w:rsidRPr="00851945">
        <w:rPr>
          <w:rFonts w:ascii="Arial" w:eastAsia="Times New Roman" w:hAnsi="Arial" w:cs="Arial"/>
          <w:color w:val="222222"/>
          <w:sz w:val="18"/>
          <w:szCs w:val="18"/>
        </w:rPr>
        <w:t xml:space="preserve"> we follow a similar course here.</w:t>
      </w:r>
    </w:p>
    <w:bookmarkStart w:id="48" w:name="[16]"/>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18"/>
          <w:szCs w:val="18"/>
        </w:rPr>
      </w:pPr>
      <w:r w:rsidRPr="00851945">
        <w:rPr>
          <w:rFonts w:ascii="Arial" w:eastAsia="Times New Roman" w:hAnsi="Arial" w:cs="Arial"/>
          <w:color w:val="222222"/>
          <w:sz w:val="18"/>
          <w:szCs w:val="18"/>
        </w:rPr>
        <w:fldChar w:fldCharType="begin"/>
      </w:r>
      <w:r w:rsidRPr="00851945">
        <w:rPr>
          <w:rFonts w:ascii="Arial" w:eastAsia="Times New Roman" w:hAnsi="Arial" w:cs="Arial"/>
          <w:color w:val="222222"/>
          <w:sz w:val="18"/>
          <w:szCs w:val="18"/>
        </w:rPr>
        <w:instrText xml:space="preserve"> HYPERLINK "http://scholar.google.com/scholar_case?case=12394314758738904678&amp;q=emerald+marijuana&amp;hl=en&amp;as_sdt=4,38" \l "r[16]" </w:instrText>
      </w:r>
      <w:r w:rsidRPr="00851945">
        <w:rPr>
          <w:rFonts w:ascii="Arial" w:eastAsia="Times New Roman" w:hAnsi="Arial" w:cs="Arial"/>
          <w:color w:val="222222"/>
          <w:sz w:val="18"/>
          <w:szCs w:val="18"/>
        </w:rPr>
        <w:fldChar w:fldCharType="separate"/>
      </w:r>
      <w:r w:rsidRPr="00851945">
        <w:rPr>
          <w:rFonts w:ascii="Arial" w:eastAsia="Times New Roman" w:hAnsi="Arial" w:cs="Arial"/>
          <w:color w:val="1A0DAB"/>
          <w:sz w:val="18"/>
          <w:szCs w:val="18"/>
          <w:u w:val="single"/>
        </w:rPr>
        <w:t>[16]</w:t>
      </w:r>
      <w:r w:rsidRPr="00851945">
        <w:rPr>
          <w:rFonts w:ascii="Arial" w:eastAsia="Times New Roman" w:hAnsi="Arial" w:cs="Arial"/>
          <w:color w:val="222222"/>
          <w:sz w:val="18"/>
          <w:szCs w:val="18"/>
        </w:rPr>
        <w:fldChar w:fldCharType="end"/>
      </w:r>
      <w:bookmarkEnd w:id="48"/>
      <w:r w:rsidRPr="00851945">
        <w:rPr>
          <w:rFonts w:ascii="Arial" w:eastAsia="Times New Roman" w:hAnsi="Arial" w:cs="Arial"/>
          <w:color w:val="222222"/>
          <w:sz w:val="18"/>
          <w:szCs w:val="18"/>
        </w:rPr>
        <w:t xml:space="preserve"> Justice Thomas noted that the Court had used different formulations to explain when it would be physically impossible to comply with both state and federal laws and questioned whether the Court had applied that standard too strictly. </w:t>
      </w:r>
      <w:hyperlink r:id="rId146" w:history="1">
        <w:proofErr w:type="gramStart"/>
        <w:r w:rsidRPr="00851945">
          <w:rPr>
            <w:rFonts w:ascii="Arial" w:eastAsia="Times New Roman" w:hAnsi="Arial" w:cs="Arial"/>
            <w:i/>
            <w:iCs/>
            <w:color w:val="1A0DAB"/>
            <w:sz w:val="18"/>
            <w:szCs w:val="18"/>
            <w:u w:val="single"/>
          </w:rPr>
          <w:t>Wyeth,</w:t>
        </w:r>
        <w:r w:rsidRPr="00851945">
          <w:rPr>
            <w:rFonts w:ascii="Arial" w:eastAsia="Times New Roman" w:hAnsi="Arial" w:cs="Arial"/>
            <w:color w:val="1A0DAB"/>
            <w:sz w:val="18"/>
            <w:szCs w:val="18"/>
            <w:u w:val="single"/>
          </w:rPr>
          <w:t xml:space="preserve"> 129 </w:t>
        </w:r>
        <w:proofErr w:type="spellStart"/>
        <w:r w:rsidRPr="00851945">
          <w:rPr>
            <w:rFonts w:ascii="Arial" w:eastAsia="Times New Roman" w:hAnsi="Arial" w:cs="Arial"/>
            <w:color w:val="1A0DAB"/>
            <w:sz w:val="18"/>
            <w:szCs w:val="18"/>
            <w:u w:val="single"/>
          </w:rPr>
          <w:t>S.Ct</w:t>
        </w:r>
        <w:proofErr w:type="spellEnd"/>
        <w:r w:rsidRPr="00851945">
          <w:rPr>
            <w:rFonts w:ascii="Arial" w:eastAsia="Times New Roman" w:hAnsi="Arial" w:cs="Arial"/>
            <w:color w:val="1A0DAB"/>
            <w:sz w:val="18"/>
            <w:szCs w:val="18"/>
            <w:u w:val="single"/>
          </w:rPr>
          <w:t>. at 1208-09 (opinion concurring in the judgment)</w:t>
        </w:r>
      </w:hyperlink>
      <w:r w:rsidRPr="00851945">
        <w:rPr>
          <w:rFonts w:ascii="Arial" w:eastAsia="Times New Roman" w:hAnsi="Arial" w:cs="Arial"/>
          <w:color w:val="222222"/>
          <w:sz w:val="18"/>
          <w:szCs w:val="18"/>
        </w:rPr>
        <w:t>.</w:t>
      </w:r>
      <w:proofErr w:type="gramEnd"/>
      <w:r w:rsidRPr="00851945">
        <w:rPr>
          <w:rFonts w:ascii="Arial" w:eastAsia="Times New Roman" w:hAnsi="Arial" w:cs="Arial"/>
          <w:color w:val="222222"/>
          <w:sz w:val="18"/>
          <w:szCs w:val="18"/>
        </w:rPr>
        <w:t xml:space="preserve"> In his view, the physical impossibility test is too narrow, and asking whether state law stands as an obstacle to the purposes of the federal law too amorphous. He would have asked whether the state and federal law are in direct conflict. </w:t>
      </w:r>
      <w:r w:rsidRPr="00851945">
        <w:rPr>
          <w:rFonts w:ascii="Arial" w:eastAsia="Times New Roman" w:hAnsi="Arial" w:cs="Arial"/>
          <w:i/>
          <w:iCs/>
          <w:color w:val="222222"/>
          <w:sz w:val="18"/>
          <w:szCs w:val="18"/>
        </w:rPr>
        <w:t>Id.; see</w:t>
      </w:r>
      <w:r w:rsidRPr="00851945">
        <w:rPr>
          <w:rFonts w:ascii="Arial" w:eastAsia="Times New Roman" w:hAnsi="Arial" w:cs="Arial"/>
          <w:color w:val="222222"/>
          <w:sz w:val="18"/>
          <w:szCs w:val="18"/>
        </w:rPr>
        <w:t xml:space="preserve"> Caleb Nelson, </w:t>
      </w:r>
      <w:r w:rsidRPr="00851945">
        <w:rPr>
          <w:rFonts w:ascii="Arial" w:eastAsia="Times New Roman" w:hAnsi="Arial" w:cs="Arial"/>
          <w:i/>
          <w:iCs/>
          <w:color w:val="222222"/>
          <w:sz w:val="18"/>
          <w:szCs w:val="18"/>
        </w:rPr>
        <w:t>Preemption,</w:t>
      </w:r>
      <w:r w:rsidRPr="00851945">
        <w:rPr>
          <w:rFonts w:ascii="Arial" w:eastAsia="Times New Roman" w:hAnsi="Arial" w:cs="Arial"/>
          <w:color w:val="222222"/>
          <w:sz w:val="18"/>
          <w:szCs w:val="18"/>
        </w:rPr>
        <w:t xml:space="preserve"> 86 Va. L. Rev. 225, 260-61 (2000) (reasoning that historically and practically preemption reduces to a "logical contradiction" test).</w:t>
      </w:r>
    </w:p>
    <w:bookmarkStart w:id="49" w:name="[17]"/>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18"/>
          <w:szCs w:val="18"/>
        </w:rPr>
      </w:pPr>
      <w:r w:rsidRPr="00851945">
        <w:rPr>
          <w:rFonts w:ascii="Arial" w:eastAsia="Times New Roman" w:hAnsi="Arial" w:cs="Arial"/>
          <w:color w:val="222222"/>
          <w:sz w:val="18"/>
          <w:szCs w:val="18"/>
        </w:rPr>
        <w:fldChar w:fldCharType="begin"/>
      </w:r>
      <w:r w:rsidRPr="00851945">
        <w:rPr>
          <w:rFonts w:ascii="Arial" w:eastAsia="Times New Roman" w:hAnsi="Arial" w:cs="Arial"/>
          <w:color w:val="222222"/>
          <w:sz w:val="18"/>
          <w:szCs w:val="18"/>
        </w:rPr>
        <w:instrText xml:space="preserve"> HYPERLINK "http://scholar.google.com/scholar_case?case=12394314758738904678&amp;q=emerald+marijuana&amp;hl=en&amp;as_sdt=4,38" \l "r[17]" </w:instrText>
      </w:r>
      <w:r w:rsidRPr="00851945">
        <w:rPr>
          <w:rFonts w:ascii="Arial" w:eastAsia="Times New Roman" w:hAnsi="Arial" w:cs="Arial"/>
          <w:color w:val="222222"/>
          <w:sz w:val="18"/>
          <w:szCs w:val="18"/>
        </w:rPr>
        <w:fldChar w:fldCharType="separate"/>
      </w:r>
      <w:r w:rsidRPr="00851945">
        <w:rPr>
          <w:rFonts w:ascii="Arial" w:eastAsia="Times New Roman" w:hAnsi="Arial" w:cs="Arial"/>
          <w:color w:val="1A0DAB"/>
          <w:sz w:val="18"/>
          <w:szCs w:val="18"/>
          <w:u w:val="single"/>
        </w:rPr>
        <w:t>[17]</w:t>
      </w:r>
      <w:r w:rsidRPr="00851945">
        <w:rPr>
          <w:rFonts w:ascii="Arial" w:eastAsia="Times New Roman" w:hAnsi="Arial" w:cs="Arial"/>
          <w:color w:val="222222"/>
          <w:sz w:val="18"/>
          <w:szCs w:val="18"/>
        </w:rPr>
        <w:fldChar w:fldCharType="end"/>
      </w:r>
      <w:bookmarkEnd w:id="49"/>
      <w:r w:rsidRPr="00851945">
        <w:rPr>
          <w:rFonts w:ascii="Arial" w:eastAsia="Times New Roman" w:hAnsi="Arial" w:cs="Arial"/>
          <w:color w:val="222222"/>
          <w:sz w:val="18"/>
          <w:szCs w:val="18"/>
        </w:rPr>
        <w:t xml:space="preserve"> The Attorney General's opinion stated that the Oregon Medical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Act "protects users who comply with its requirements from state criminal prosecution for production, possession, or delivery of a controlled substance." </w:t>
      </w:r>
      <w:proofErr w:type="gramStart"/>
      <w:r w:rsidRPr="00851945">
        <w:rPr>
          <w:rFonts w:ascii="Arial" w:eastAsia="Times New Roman" w:hAnsi="Arial" w:cs="Arial"/>
          <w:color w:val="222222"/>
          <w:sz w:val="18"/>
          <w:szCs w:val="18"/>
        </w:rPr>
        <w:t>Letter Opinion at 2.</w:t>
      </w:r>
      <w:proofErr w:type="gramEnd"/>
      <w:r w:rsidRPr="00851945">
        <w:rPr>
          <w:rFonts w:ascii="Arial" w:eastAsia="Times New Roman" w:hAnsi="Arial" w:cs="Arial"/>
          <w:color w:val="222222"/>
          <w:sz w:val="18"/>
          <w:szCs w:val="18"/>
        </w:rPr>
        <w:t xml:space="preserve"> In support of that statement, the opinion cited </w:t>
      </w:r>
      <w:r w:rsidRPr="00851945">
        <w:rPr>
          <w:rFonts w:ascii="Arial" w:eastAsia="Times New Roman" w:hAnsi="Arial" w:cs="Arial"/>
          <w:i/>
          <w:iCs/>
          <w:color w:val="222222"/>
          <w:sz w:val="18"/>
          <w:szCs w:val="18"/>
        </w:rPr>
        <w:t>former</w:t>
      </w:r>
      <w:r w:rsidRPr="00851945">
        <w:rPr>
          <w:rFonts w:ascii="Arial" w:eastAsia="Times New Roman" w:hAnsi="Arial" w:cs="Arial"/>
          <w:color w:val="222222"/>
          <w:sz w:val="18"/>
          <w:szCs w:val="18"/>
        </w:rPr>
        <w:t xml:space="preserve"> ORS 475.306(2) (2003), which provided an affirmative defense for persons who possessed excess amounts of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if possession of that amount of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were medically necessary. </w:t>
      </w:r>
      <w:r w:rsidRPr="00851945">
        <w:rPr>
          <w:rFonts w:ascii="Arial" w:eastAsia="Times New Roman" w:hAnsi="Arial" w:cs="Arial"/>
          <w:i/>
          <w:iCs/>
          <w:color w:val="222222"/>
          <w:sz w:val="18"/>
          <w:szCs w:val="18"/>
        </w:rPr>
        <w:t>See</w:t>
      </w:r>
      <w:r w:rsidRPr="00851945">
        <w:rPr>
          <w:rFonts w:ascii="Arial" w:eastAsia="Times New Roman" w:hAnsi="Arial" w:cs="Arial"/>
          <w:color w:val="222222"/>
          <w:sz w:val="18"/>
          <w:szCs w:val="18"/>
        </w:rPr>
        <w:t xml:space="preserve"> Or. </w:t>
      </w:r>
      <w:proofErr w:type="gramStart"/>
      <w:r w:rsidRPr="00851945">
        <w:rPr>
          <w:rFonts w:ascii="Arial" w:eastAsia="Times New Roman" w:hAnsi="Arial" w:cs="Arial"/>
          <w:color w:val="222222"/>
          <w:sz w:val="18"/>
          <w:szCs w:val="18"/>
        </w:rPr>
        <w:t xml:space="preserve">Laws 2005, </w:t>
      </w:r>
      <w:proofErr w:type="spellStart"/>
      <w:r w:rsidRPr="00851945">
        <w:rPr>
          <w:rFonts w:ascii="Arial" w:eastAsia="Times New Roman" w:hAnsi="Arial" w:cs="Arial"/>
          <w:color w:val="222222"/>
          <w:sz w:val="18"/>
          <w:szCs w:val="18"/>
        </w:rPr>
        <w:t>ch.</w:t>
      </w:r>
      <w:proofErr w:type="spellEnd"/>
      <w:r w:rsidRPr="00851945">
        <w:rPr>
          <w:rFonts w:ascii="Arial" w:eastAsia="Times New Roman" w:hAnsi="Arial" w:cs="Arial"/>
          <w:color w:val="222222"/>
          <w:sz w:val="18"/>
          <w:szCs w:val="18"/>
        </w:rPr>
        <w:t xml:space="preserve"> 822, § 2 (repealing that provision).</w:t>
      </w:r>
      <w:proofErr w:type="gramEnd"/>
      <w:r w:rsidRPr="00851945">
        <w:rPr>
          <w:rFonts w:ascii="Arial" w:eastAsia="Times New Roman" w:hAnsi="Arial" w:cs="Arial"/>
          <w:color w:val="222222"/>
          <w:sz w:val="18"/>
          <w:szCs w:val="18"/>
        </w:rPr>
        <w:t xml:space="preserve"> The opinion also </w:t>
      </w:r>
      <w:r w:rsidRPr="00851945">
        <w:rPr>
          <w:rFonts w:ascii="Arial" w:eastAsia="Times New Roman" w:hAnsi="Arial" w:cs="Arial"/>
          <w:color w:val="222222"/>
          <w:sz w:val="18"/>
          <w:szCs w:val="18"/>
        </w:rPr>
        <w:lastRenderedPageBreak/>
        <w:t>cited ORS 475.319 and ORS 475.309(9), which provides an affirmative defense to criminal liability for persons who have applied for but not yet received a registry identification card.</w:t>
      </w:r>
    </w:p>
    <w:bookmarkStart w:id="50" w:name="[18]"/>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18"/>
          <w:szCs w:val="18"/>
        </w:rPr>
      </w:pPr>
      <w:r w:rsidRPr="00851945">
        <w:rPr>
          <w:rFonts w:ascii="Arial" w:eastAsia="Times New Roman" w:hAnsi="Arial" w:cs="Arial"/>
          <w:color w:val="222222"/>
          <w:sz w:val="18"/>
          <w:szCs w:val="18"/>
        </w:rPr>
        <w:fldChar w:fldCharType="begin"/>
      </w:r>
      <w:r w:rsidRPr="00851945">
        <w:rPr>
          <w:rFonts w:ascii="Arial" w:eastAsia="Times New Roman" w:hAnsi="Arial" w:cs="Arial"/>
          <w:color w:val="222222"/>
          <w:sz w:val="18"/>
          <w:szCs w:val="18"/>
        </w:rPr>
        <w:instrText xml:space="preserve"> HYPERLINK "http://scholar.google.com/scholar_case?case=12394314758738904678&amp;q=emerald+marijuana&amp;hl=en&amp;as_sdt=4,38" \l "r[18]" </w:instrText>
      </w:r>
      <w:r w:rsidRPr="00851945">
        <w:rPr>
          <w:rFonts w:ascii="Arial" w:eastAsia="Times New Roman" w:hAnsi="Arial" w:cs="Arial"/>
          <w:color w:val="222222"/>
          <w:sz w:val="18"/>
          <w:szCs w:val="18"/>
        </w:rPr>
        <w:fldChar w:fldCharType="separate"/>
      </w:r>
      <w:r w:rsidRPr="00851945">
        <w:rPr>
          <w:rFonts w:ascii="Arial" w:eastAsia="Times New Roman" w:hAnsi="Arial" w:cs="Arial"/>
          <w:color w:val="1A0DAB"/>
          <w:sz w:val="18"/>
          <w:szCs w:val="18"/>
          <w:u w:val="single"/>
        </w:rPr>
        <w:t>[18]</w:t>
      </w:r>
      <w:r w:rsidRPr="00851945">
        <w:rPr>
          <w:rFonts w:ascii="Arial" w:eastAsia="Times New Roman" w:hAnsi="Arial" w:cs="Arial"/>
          <w:color w:val="222222"/>
          <w:sz w:val="18"/>
          <w:szCs w:val="18"/>
        </w:rPr>
        <w:fldChar w:fldCharType="end"/>
      </w:r>
      <w:bookmarkEnd w:id="50"/>
      <w:r w:rsidRPr="00851945">
        <w:rPr>
          <w:rFonts w:ascii="Arial" w:eastAsia="Times New Roman" w:hAnsi="Arial" w:cs="Arial"/>
          <w:color w:val="222222"/>
          <w:sz w:val="18"/>
          <w:szCs w:val="18"/>
        </w:rPr>
        <w:t xml:space="preserve"> The dissent phrases the test it would apply in various ways throughout its opinion. For instance, it begins its opinion by stating that the Oregon Medical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Act </w:t>
      </w:r>
      <w:proofErr w:type="gramStart"/>
      <w:r w:rsidRPr="00851945">
        <w:rPr>
          <w:rFonts w:ascii="Arial" w:eastAsia="Times New Roman" w:hAnsi="Arial" w:cs="Arial"/>
          <w:color w:val="222222"/>
          <w:sz w:val="18"/>
          <w:szCs w:val="18"/>
        </w:rPr>
        <w:t>neither "permits [n]or</w:t>
      </w:r>
      <w:proofErr w:type="gramEnd"/>
      <w:r w:rsidRPr="00851945">
        <w:rPr>
          <w:rFonts w:ascii="Arial" w:eastAsia="Times New Roman" w:hAnsi="Arial" w:cs="Arial"/>
          <w:color w:val="222222"/>
          <w:sz w:val="18"/>
          <w:szCs w:val="18"/>
        </w:rPr>
        <w:t xml:space="preserve"> requires the violation of the Controlled Substances Act." 348 Or. </w:t>
      </w:r>
      <w:proofErr w:type="gramStart"/>
      <w:r w:rsidRPr="00851945">
        <w:rPr>
          <w:rFonts w:ascii="Arial" w:eastAsia="Times New Roman" w:hAnsi="Arial" w:cs="Arial"/>
          <w:color w:val="222222"/>
          <w:sz w:val="18"/>
          <w:szCs w:val="18"/>
        </w:rPr>
        <w:t>at</w:t>
      </w:r>
      <w:proofErr w:type="gramEnd"/>
      <w:r w:rsidRPr="00851945">
        <w:rPr>
          <w:rFonts w:ascii="Arial" w:eastAsia="Times New Roman" w:hAnsi="Arial" w:cs="Arial"/>
          <w:color w:val="222222"/>
          <w:sz w:val="18"/>
          <w:szCs w:val="18"/>
        </w:rPr>
        <w:t xml:space="preserve"> 190, 230 P.3d at 536 (Walters, J., dissenting). Because the Oregon Medical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Act permits (and indeed authorizes) conduct that violates the Controlled Substances Act, we understand the dissent to use the word "permits" to mean expressly purports to "</w:t>
      </w:r>
      <w:proofErr w:type="spellStart"/>
      <w:r w:rsidRPr="00851945">
        <w:rPr>
          <w:rFonts w:ascii="Arial" w:eastAsia="Times New Roman" w:hAnsi="Arial" w:cs="Arial"/>
          <w:color w:val="222222"/>
          <w:sz w:val="18"/>
          <w:szCs w:val="18"/>
        </w:rPr>
        <w:t>giv</w:t>
      </w:r>
      <w:proofErr w:type="spellEnd"/>
      <w:r w:rsidRPr="00851945">
        <w:rPr>
          <w:rFonts w:ascii="Arial" w:eastAsia="Times New Roman" w:hAnsi="Arial" w:cs="Arial"/>
          <w:color w:val="222222"/>
          <w:sz w:val="18"/>
          <w:szCs w:val="18"/>
        </w:rPr>
        <w:t xml:space="preserve">[e] permission," as it later rephrases its test. We also note that, if the Oregon Medical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Act "required" a violation of federal law, then the physical impossibility prong of implied preemption would apply.</w:t>
      </w:r>
    </w:p>
    <w:bookmarkStart w:id="51" w:name="[19]"/>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18"/>
          <w:szCs w:val="18"/>
        </w:rPr>
      </w:pPr>
      <w:r w:rsidRPr="00851945">
        <w:rPr>
          <w:rFonts w:ascii="Arial" w:eastAsia="Times New Roman" w:hAnsi="Arial" w:cs="Arial"/>
          <w:color w:val="222222"/>
          <w:sz w:val="18"/>
          <w:szCs w:val="18"/>
        </w:rPr>
        <w:fldChar w:fldCharType="begin"/>
      </w:r>
      <w:r w:rsidRPr="00851945">
        <w:rPr>
          <w:rFonts w:ascii="Arial" w:eastAsia="Times New Roman" w:hAnsi="Arial" w:cs="Arial"/>
          <w:color w:val="222222"/>
          <w:sz w:val="18"/>
          <w:szCs w:val="18"/>
        </w:rPr>
        <w:instrText xml:space="preserve"> HYPERLINK "http://scholar.google.com/scholar_case?case=12394314758738904678&amp;q=emerald+marijuana&amp;hl=en&amp;as_sdt=4,38" \l "r[19]" </w:instrText>
      </w:r>
      <w:r w:rsidRPr="00851945">
        <w:rPr>
          <w:rFonts w:ascii="Arial" w:eastAsia="Times New Roman" w:hAnsi="Arial" w:cs="Arial"/>
          <w:color w:val="222222"/>
          <w:sz w:val="18"/>
          <w:szCs w:val="18"/>
        </w:rPr>
        <w:fldChar w:fldCharType="separate"/>
      </w:r>
      <w:r w:rsidRPr="00851945">
        <w:rPr>
          <w:rFonts w:ascii="Arial" w:eastAsia="Times New Roman" w:hAnsi="Arial" w:cs="Arial"/>
          <w:color w:val="1A0DAB"/>
          <w:sz w:val="18"/>
          <w:szCs w:val="18"/>
          <w:u w:val="single"/>
        </w:rPr>
        <w:t>[19]</w:t>
      </w:r>
      <w:r w:rsidRPr="00851945">
        <w:rPr>
          <w:rFonts w:ascii="Arial" w:eastAsia="Times New Roman" w:hAnsi="Arial" w:cs="Arial"/>
          <w:color w:val="222222"/>
          <w:sz w:val="18"/>
          <w:szCs w:val="18"/>
        </w:rPr>
        <w:fldChar w:fldCharType="end"/>
      </w:r>
      <w:bookmarkEnd w:id="51"/>
      <w:r w:rsidRPr="00851945">
        <w:rPr>
          <w:rFonts w:ascii="Arial" w:eastAsia="Times New Roman" w:hAnsi="Arial" w:cs="Arial"/>
          <w:color w:val="222222"/>
          <w:sz w:val="18"/>
          <w:szCs w:val="18"/>
        </w:rPr>
        <w:t xml:space="preserve"> The dissenting opinion quotes the dissent in </w:t>
      </w:r>
      <w:r w:rsidRPr="00851945">
        <w:rPr>
          <w:rFonts w:ascii="Arial" w:eastAsia="Times New Roman" w:hAnsi="Arial" w:cs="Arial"/>
          <w:i/>
          <w:iCs/>
          <w:color w:val="222222"/>
          <w:sz w:val="18"/>
          <w:szCs w:val="18"/>
        </w:rPr>
        <w:t>Florida Lime &amp; Avocado</w:t>
      </w:r>
      <w:r w:rsidRPr="00851945">
        <w:rPr>
          <w:rFonts w:ascii="Arial" w:eastAsia="Times New Roman" w:hAnsi="Arial" w:cs="Arial"/>
          <w:color w:val="222222"/>
          <w:sz w:val="18"/>
          <w:szCs w:val="18"/>
        </w:rPr>
        <w:t xml:space="preserve"> for the proposition that the conflict between state and federal law in that case was unmistakable. </w:t>
      </w:r>
      <w:r w:rsidRPr="00851945">
        <w:rPr>
          <w:rFonts w:ascii="Arial" w:eastAsia="Times New Roman" w:hAnsi="Arial" w:cs="Arial"/>
          <w:i/>
          <w:iCs/>
          <w:color w:val="222222"/>
          <w:sz w:val="18"/>
          <w:szCs w:val="18"/>
        </w:rPr>
        <w:t>See</w:t>
      </w:r>
      <w:r w:rsidRPr="00851945">
        <w:rPr>
          <w:rFonts w:ascii="Arial" w:eastAsia="Times New Roman" w:hAnsi="Arial" w:cs="Arial"/>
          <w:color w:val="222222"/>
          <w:sz w:val="18"/>
          <w:szCs w:val="18"/>
        </w:rPr>
        <w:t xml:space="preserve"> 348 Or. </w:t>
      </w:r>
      <w:proofErr w:type="gramStart"/>
      <w:r w:rsidRPr="00851945">
        <w:rPr>
          <w:rFonts w:ascii="Arial" w:eastAsia="Times New Roman" w:hAnsi="Arial" w:cs="Arial"/>
          <w:color w:val="222222"/>
          <w:sz w:val="18"/>
          <w:szCs w:val="18"/>
        </w:rPr>
        <w:t>at</w:t>
      </w:r>
      <w:proofErr w:type="gramEnd"/>
      <w:r w:rsidRPr="00851945">
        <w:rPr>
          <w:rFonts w:ascii="Arial" w:eastAsia="Times New Roman" w:hAnsi="Arial" w:cs="Arial"/>
          <w:color w:val="222222"/>
          <w:sz w:val="18"/>
          <w:szCs w:val="18"/>
        </w:rPr>
        <w:t xml:space="preserve"> 200-02, 230 P.3d at 541-42 (Walters, J., dissenting) (quoting </w:t>
      </w:r>
      <w:hyperlink r:id="rId147" w:history="1">
        <w:r w:rsidRPr="00851945">
          <w:rPr>
            <w:rFonts w:ascii="Arial" w:eastAsia="Times New Roman" w:hAnsi="Arial" w:cs="Arial"/>
            <w:i/>
            <w:iCs/>
            <w:color w:val="1A0DAB"/>
            <w:sz w:val="18"/>
            <w:szCs w:val="18"/>
            <w:u w:val="single"/>
          </w:rPr>
          <w:t>Florida Lime &amp; Avocado,</w:t>
        </w:r>
        <w:r w:rsidRPr="00851945">
          <w:rPr>
            <w:rFonts w:ascii="Arial" w:eastAsia="Times New Roman" w:hAnsi="Arial" w:cs="Arial"/>
            <w:color w:val="1A0DAB"/>
            <w:sz w:val="18"/>
            <w:szCs w:val="18"/>
            <w:u w:val="single"/>
          </w:rPr>
          <w:t xml:space="preserve"> 373 U.S. at 173, 83 </w:t>
        </w:r>
        <w:proofErr w:type="spellStart"/>
        <w:r w:rsidRPr="00851945">
          <w:rPr>
            <w:rFonts w:ascii="Arial" w:eastAsia="Times New Roman" w:hAnsi="Arial" w:cs="Arial"/>
            <w:color w:val="1A0DAB"/>
            <w:sz w:val="18"/>
            <w:szCs w:val="18"/>
            <w:u w:val="single"/>
          </w:rPr>
          <w:t>S.Ct</w:t>
        </w:r>
        <w:proofErr w:type="spellEnd"/>
        <w:r w:rsidRPr="00851945">
          <w:rPr>
            <w:rFonts w:ascii="Arial" w:eastAsia="Times New Roman" w:hAnsi="Arial" w:cs="Arial"/>
            <w:color w:val="1A0DAB"/>
            <w:sz w:val="18"/>
            <w:szCs w:val="18"/>
            <w:u w:val="single"/>
          </w:rPr>
          <w:t>. 1210 (White, J., dissenting)</w:t>
        </w:r>
      </w:hyperlink>
      <w:r w:rsidRPr="00851945">
        <w:rPr>
          <w:rFonts w:ascii="Arial" w:eastAsia="Times New Roman" w:hAnsi="Arial" w:cs="Arial"/>
          <w:color w:val="222222"/>
          <w:sz w:val="18"/>
          <w:szCs w:val="18"/>
        </w:rPr>
        <w:t xml:space="preserve">). The majority, however, disagreed on that point, </w:t>
      </w:r>
      <w:hyperlink r:id="rId148" w:history="1">
        <w:r w:rsidRPr="00851945">
          <w:rPr>
            <w:rFonts w:ascii="Arial" w:eastAsia="Times New Roman" w:hAnsi="Arial" w:cs="Arial"/>
            <w:color w:val="1A0DAB"/>
            <w:sz w:val="18"/>
            <w:szCs w:val="18"/>
            <w:u w:val="single"/>
          </w:rPr>
          <w:t xml:space="preserve">373 U.S. at 145-46, 83 </w:t>
        </w:r>
        <w:proofErr w:type="spellStart"/>
        <w:r w:rsidRPr="00851945">
          <w:rPr>
            <w:rFonts w:ascii="Arial" w:eastAsia="Times New Roman" w:hAnsi="Arial" w:cs="Arial"/>
            <w:color w:val="1A0DAB"/>
            <w:sz w:val="18"/>
            <w:szCs w:val="18"/>
            <w:u w:val="single"/>
          </w:rPr>
          <w:t>S.Ct</w:t>
        </w:r>
        <w:proofErr w:type="spellEnd"/>
        <w:r w:rsidRPr="00851945">
          <w:rPr>
            <w:rFonts w:ascii="Arial" w:eastAsia="Times New Roman" w:hAnsi="Arial" w:cs="Arial"/>
            <w:color w:val="1A0DAB"/>
            <w:sz w:val="18"/>
            <w:szCs w:val="18"/>
            <w:u w:val="single"/>
          </w:rPr>
          <w:t>. 1210,</w:t>
        </w:r>
      </w:hyperlink>
      <w:r w:rsidRPr="00851945">
        <w:rPr>
          <w:rFonts w:ascii="Arial" w:eastAsia="Times New Roman" w:hAnsi="Arial" w:cs="Arial"/>
          <w:color w:val="222222"/>
          <w:sz w:val="18"/>
          <w:szCs w:val="18"/>
        </w:rPr>
        <w:t xml:space="preserve"> and its conclusion that federal law left room for complementary state law was pivotal to its conclusion that the federal marketing order did not preempt California law.</w:t>
      </w:r>
    </w:p>
    <w:bookmarkStart w:id="52" w:name="[20]"/>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18"/>
          <w:szCs w:val="18"/>
        </w:rPr>
      </w:pPr>
      <w:r w:rsidRPr="00851945">
        <w:rPr>
          <w:rFonts w:ascii="Arial" w:eastAsia="Times New Roman" w:hAnsi="Arial" w:cs="Arial"/>
          <w:color w:val="222222"/>
          <w:sz w:val="18"/>
          <w:szCs w:val="18"/>
        </w:rPr>
        <w:fldChar w:fldCharType="begin"/>
      </w:r>
      <w:r w:rsidRPr="00851945">
        <w:rPr>
          <w:rFonts w:ascii="Arial" w:eastAsia="Times New Roman" w:hAnsi="Arial" w:cs="Arial"/>
          <w:color w:val="222222"/>
          <w:sz w:val="18"/>
          <w:szCs w:val="18"/>
        </w:rPr>
        <w:instrText xml:space="preserve"> HYPERLINK "http://scholar.google.com/scholar_case?case=12394314758738904678&amp;q=emerald+marijuana&amp;hl=en&amp;as_sdt=4,38" \l "r[20]" </w:instrText>
      </w:r>
      <w:r w:rsidRPr="00851945">
        <w:rPr>
          <w:rFonts w:ascii="Arial" w:eastAsia="Times New Roman" w:hAnsi="Arial" w:cs="Arial"/>
          <w:color w:val="222222"/>
          <w:sz w:val="18"/>
          <w:szCs w:val="18"/>
        </w:rPr>
        <w:fldChar w:fldCharType="separate"/>
      </w:r>
      <w:r w:rsidRPr="00851945">
        <w:rPr>
          <w:rFonts w:ascii="Arial" w:eastAsia="Times New Roman" w:hAnsi="Arial" w:cs="Arial"/>
          <w:color w:val="1A0DAB"/>
          <w:sz w:val="18"/>
          <w:szCs w:val="18"/>
          <w:u w:val="single"/>
        </w:rPr>
        <w:t>[20]</w:t>
      </w:r>
      <w:r w:rsidRPr="00851945">
        <w:rPr>
          <w:rFonts w:ascii="Arial" w:eastAsia="Times New Roman" w:hAnsi="Arial" w:cs="Arial"/>
          <w:color w:val="222222"/>
          <w:sz w:val="18"/>
          <w:szCs w:val="18"/>
        </w:rPr>
        <w:fldChar w:fldCharType="end"/>
      </w:r>
      <w:bookmarkEnd w:id="52"/>
      <w:r w:rsidRPr="00851945">
        <w:rPr>
          <w:rFonts w:ascii="Arial" w:eastAsia="Times New Roman" w:hAnsi="Arial" w:cs="Arial"/>
          <w:color w:val="222222"/>
          <w:sz w:val="18"/>
          <w:szCs w:val="18"/>
        </w:rPr>
        <w:t xml:space="preserve"> The other two United States Supreme Court cases on which the dissent relies are to the same effect. Neither case involved a federal statute that, as the Court interpreted it, prohibited what the state law authorized. </w:t>
      </w:r>
      <w:r w:rsidRPr="00851945">
        <w:rPr>
          <w:rFonts w:ascii="Arial" w:eastAsia="Times New Roman" w:hAnsi="Arial" w:cs="Arial"/>
          <w:i/>
          <w:iCs/>
          <w:color w:val="222222"/>
          <w:sz w:val="18"/>
          <w:szCs w:val="18"/>
        </w:rPr>
        <w:t xml:space="preserve">See </w:t>
      </w:r>
      <w:hyperlink r:id="rId149" w:history="1">
        <w:r w:rsidRPr="00851945">
          <w:rPr>
            <w:rFonts w:ascii="Arial" w:eastAsia="Times New Roman" w:hAnsi="Arial" w:cs="Arial"/>
            <w:i/>
            <w:iCs/>
            <w:color w:val="1A0DAB"/>
            <w:sz w:val="18"/>
            <w:szCs w:val="18"/>
            <w:u w:val="single"/>
          </w:rPr>
          <w:t>California v. ARC America Corp.,</w:t>
        </w:r>
        <w:r w:rsidRPr="00851945">
          <w:rPr>
            <w:rFonts w:ascii="Arial" w:eastAsia="Times New Roman" w:hAnsi="Arial" w:cs="Arial"/>
            <w:color w:val="1A0DAB"/>
            <w:sz w:val="18"/>
            <w:szCs w:val="18"/>
            <w:u w:val="single"/>
          </w:rPr>
          <w:t xml:space="preserve"> 490 U.S. 93, 103, 109 </w:t>
        </w:r>
        <w:proofErr w:type="spellStart"/>
        <w:r w:rsidRPr="00851945">
          <w:rPr>
            <w:rFonts w:ascii="Arial" w:eastAsia="Times New Roman" w:hAnsi="Arial" w:cs="Arial"/>
            <w:color w:val="1A0DAB"/>
            <w:sz w:val="18"/>
            <w:szCs w:val="18"/>
            <w:u w:val="single"/>
          </w:rPr>
          <w:t>S.Ct</w:t>
        </w:r>
        <w:proofErr w:type="spellEnd"/>
        <w:r w:rsidRPr="00851945">
          <w:rPr>
            <w:rFonts w:ascii="Arial" w:eastAsia="Times New Roman" w:hAnsi="Arial" w:cs="Arial"/>
            <w:color w:val="1A0DAB"/>
            <w:sz w:val="18"/>
            <w:szCs w:val="18"/>
            <w:u w:val="single"/>
          </w:rPr>
          <w:t>. 1661, 104 L.Ed.2d 86 (1989)</w:t>
        </w:r>
      </w:hyperlink>
      <w:r w:rsidRPr="00851945">
        <w:rPr>
          <w:rFonts w:ascii="Arial" w:eastAsia="Times New Roman" w:hAnsi="Arial" w:cs="Arial"/>
          <w:color w:val="222222"/>
          <w:sz w:val="18"/>
          <w:szCs w:val="18"/>
        </w:rPr>
        <w:t xml:space="preserve"> (explaining that nothing in an earlier decision that only direct purchasers may bring an action under section 4 of the Clayton Act "suggests that it would be contrary to congressional purposes for States to allow indirect purchasers to recover under their own antitrust laws"); </w:t>
      </w:r>
      <w:hyperlink r:id="rId150" w:history="1">
        <w:proofErr w:type="spellStart"/>
        <w:r w:rsidRPr="00851945">
          <w:rPr>
            <w:rFonts w:ascii="Arial" w:eastAsia="Times New Roman" w:hAnsi="Arial" w:cs="Arial"/>
            <w:i/>
            <w:iCs/>
            <w:color w:val="1A0DAB"/>
            <w:sz w:val="18"/>
            <w:szCs w:val="18"/>
            <w:u w:val="single"/>
          </w:rPr>
          <w:t>Silkwood</w:t>
        </w:r>
        <w:proofErr w:type="spellEnd"/>
        <w:r w:rsidRPr="00851945">
          <w:rPr>
            <w:rFonts w:ascii="Arial" w:eastAsia="Times New Roman" w:hAnsi="Arial" w:cs="Arial"/>
            <w:i/>
            <w:iCs/>
            <w:color w:val="1A0DAB"/>
            <w:sz w:val="18"/>
            <w:szCs w:val="18"/>
            <w:u w:val="single"/>
          </w:rPr>
          <w:t xml:space="preserve"> v. Kerr-McGee Corp.,</w:t>
        </w:r>
        <w:r w:rsidRPr="00851945">
          <w:rPr>
            <w:rFonts w:ascii="Arial" w:eastAsia="Times New Roman" w:hAnsi="Arial" w:cs="Arial"/>
            <w:color w:val="1A0DAB"/>
            <w:sz w:val="18"/>
            <w:szCs w:val="18"/>
            <w:u w:val="single"/>
          </w:rPr>
          <w:t xml:space="preserve"> 464 U.S. 238, 256, 104 </w:t>
        </w:r>
        <w:proofErr w:type="spellStart"/>
        <w:r w:rsidRPr="00851945">
          <w:rPr>
            <w:rFonts w:ascii="Arial" w:eastAsia="Times New Roman" w:hAnsi="Arial" w:cs="Arial"/>
            <w:color w:val="1A0DAB"/>
            <w:sz w:val="18"/>
            <w:szCs w:val="18"/>
            <w:u w:val="single"/>
          </w:rPr>
          <w:t>S.Ct</w:t>
        </w:r>
        <w:proofErr w:type="spellEnd"/>
        <w:r w:rsidRPr="00851945">
          <w:rPr>
            <w:rFonts w:ascii="Arial" w:eastAsia="Times New Roman" w:hAnsi="Arial" w:cs="Arial"/>
            <w:color w:val="1A0DAB"/>
            <w:sz w:val="18"/>
            <w:szCs w:val="18"/>
            <w:u w:val="single"/>
          </w:rPr>
          <w:t>. 615, 78 L.Ed.2d 443 (1984)</w:t>
        </w:r>
      </w:hyperlink>
      <w:r w:rsidRPr="00851945">
        <w:rPr>
          <w:rFonts w:ascii="Arial" w:eastAsia="Times New Roman" w:hAnsi="Arial" w:cs="Arial"/>
          <w:color w:val="222222"/>
          <w:sz w:val="18"/>
          <w:szCs w:val="18"/>
        </w:rPr>
        <w:t xml:space="preserve"> (holding that, even though Congress "was well aware of the NRC's exclusive authority to regulate safety matters," Congress also had "assumed that state law remedies, in whatever form they might take, were available to those injured in nuclear incidents").</w:t>
      </w:r>
    </w:p>
    <w:bookmarkStart w:id="53" w:name="[21]"/>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18"/>
          <w:szCs w:val="18"/>
        </w:rPr>
      </w:pPr>
      <w:r w:rsidRPr="00851945">
        <w:rPr>
          <w:rFonts w:ascii="Arial" w:eastAsia="Times New Roman" w:hAnsi="Arial" w:cs="Arial"/>
          <w:color w:val="222222"/>
          <w:sz w:val="18"/>
          <w:szCs w:val="18"/>
        </w:rPr>
        <w:fldChar w:fldCharType="begin"/>
      </w:r>
      <w:r w:rsidRPr="00851945">
        <w:rPr>
          <w:rFonts w:ascii="Arial" w:eastAsia="Times New Roman" w:hAnsi="Arial" w:cs="Arial"/>
          <w:color w:val="222222"/>
          <w:sz w:val="18"/>
          <w:szCs w:val="18"/>
        </w:rPr>
        <w:instrText xml:space="preserve"> HYPERLINK "http://scholar.google.com/scholar_case?case=12394314758738904678&amp;q=emerald+marijuana&amp;hl=en&amp;as_sdt=4,38" \l "r[21]" </w:instrText>
      </w:r>
      <w:r w:rsidRPr="00851945">
        <w:rPr>
          <w:rFonts w:ascii="Arial" w:eastAsia="Times New Roman" w:hAnsi="Arial" w:cs="Arial"/>
          <w:color w:val="222222"/>
          <w:sz w:val="18"/>
          <w:szCs w:val="18"/>
        </w:rPr>
        <w:fldChar w:fldCharType="separate"/>
      </w:r>
      <w:r w:rsidRPr="00851945">
        <w:rPr>
          <w:rFonts w:ascii="Arial" w:eastAsia="Times New Roman" w:hAnsi="Arial" w:cs="Arial"/>
          <w:color w:val="1A0DAB"/>
          <w:sz w:val="18"/>
          <w:szCs w:val="18"/>
          <w:u w:val="single"/>
        </w:rPr>
        <w:t>[21]</w:t>
      </w:r>
      <w:r w:rsidRPr="00851945">
        <w:rPr>
          <w:rFonts w:ascii="Arial" w:eastAsia="Times New Roman" w:hAnsi="Arial" w:cs="Arial"/>
          <w:color w:val="222222"/>
          <w:sz w:val="18"/>
          <w:szCs w:val="18"/>
        </w:rPr>
        <w:fldChar w:fldCharType="end"/>
      </w:r>
      <w:bookmarkEnd w:id="53"/>
      <w:r w:rsidRPr="00851945">
        <w:rPr>
          <w:rFonts w:ascii="Arial" w:eastAsia="Times New Roman" w:hAnsi="Arial" w:cs="Arial"/>
          <w:color w:val="222222"/>
          <w:sz w:val="18"/>
          <w:szCs w:val="18"/>
        </w:rPr>
        <w:t xml:space="preserve"> There is a suggestion in the dissent that ORS 475.306(1) is integral to the goal of exempting medical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use from state criminal liability and cannot be severed from the remainder of the Oregon Medical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Act. That act, however, contains an express severability clause, and it is not apparent why the provisions exempting medical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use from state criminal liability cannot "be given full effect without [the authorization to use medical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found in ORS 475.306(1)]." </w:t>
      </w:r>
      <w:r w:rsidRPr="00851945">
        <w:rPr>
          <w:rFonts w:ascii="Arial" w:eastAsia="Times New Roman" w:hAnsi="Arial" w:cs="Arial"/>
          <w:i/>
          <w:iCs/>
          <w:color w:val="222222"/>
          <w:sz w:val="18"/>
          <w:szCs w:val="18"/>
        </w:rPr>
        <w:t>See</w:t>
      </w:r>
      <w:r w:rsidRPr="00851945">
        <w:rPr>
          <w:rFonts w:ascii="Arial" w:eastAsia="Times New Roman" w:hAnsi="Arial" w:cs="Arial"/>
          <w:color w:val="222222"/>
          <w:sz w:val="18"/>
          <w:szCs w:val="18"/>
        </w:rPr>
        <w:t xml:space="preserve"> Or. Laws 1999, </w:t>
      </w:r>
      <w:proofErr w:type="spellStart"/>
      <w:r w:rsidRPr="00851945">
        <w:rPr>
          <w:rFonts w:ascii="Arial" w:eastAsia="Times New Roman" w:hAnsi="Arial" w:cs="Arial"/>
          <w:color w:val="222222"/>
          <w:sz w:val="18"/>
          <w:szCs w:val="18"/>
        </w:rPr>
        <w:t>ch.</w:t>
      </w:r>
      <w:proofErr w:type="spellEnd"/>
      <w:r w:rsidRPr="00851945">
        <w:rPr>
          <w:rFonts w:ascii="Arial" w:eastAsia="Times New Roman" w:hAnsi="Arial" w:cs="Arial"/>
          <w:color w:val="222222"/>
          <w:sz w:val="18"/>
          <w:szCs w:val="18"/>
        </w:rPr>
        <w:t xml:space="preserve"> 4, § 18 (providing the terms for severing any part of the act held invalid).</w:t>
      </w:r>
    </w:p>
    <w:bookmarkStart w:id="54" w:name="[22]"/>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18"/>
          <w:szCs w:val="18"/>
        </w:rPr>
      </w:pPr>
      <w:r w:rsidRPr="00851945">
        <w:rPr>
          <w:rFonts w:ascii="Arial" w:eastAsia="Times New Roman" w:hAnsi="Arial" w:cs="Arial"/>
          <w:color w:val="222222"/>
          <w:sz w:val="18"/>
          <w:szCs w:val="18"/>
        </w:rPr>
        <w:fldChar w:fldCharType="begin"/>
      </w:r>
      <w:r w:rsidRPr="00851945">
        <w:rPr>
          <w:rFonts w:ascii="Arial" w:eastAsia="Times New Roman" w:hAnsi="Arial" w:cs="Arial"/>
          <w:color w:val="222222"/>
          <w:sz w:val="18"/>
          <w:szCs w:val="18"/>
        </w:rPr>
        <w:instrText xml:space="preserve"> HYPERLINK "http://scholar.google.com/scholar_case?case=12394314758738904678&amp;q=emerald+marijuana&amp;hl=en&amp;as_sdt=4,38" \l "r[22]" </w:instrText>
      </w:r>
      <w:r w:rsidRPr="00851945">
        <w:rPr>
          <w:rFonts w:ascii="Arial" w:eastAsia="Times New Roman" w:hAnsi="Arial" w:cs="Arial"/>
          <w:color w:val="222222"/>
          <w:sz w:val="18"/>
          <w:szCs w:val="18"/>
        </w:rPr>
        <w:fldChar w:fldCharType="separate"/>
      </w:r>
      <w:r w:rsidRPr="00851945">
        <w:rPr>
          <w:rFonts w:ascii="Arial" w:eastAsia="Times New Roman" w:hAnsi="Arial" w:cs="Arial"/>
          <w:color w:val="1A0DAB"/>
          <w:sz w:val="18"/>
          <w:szCs w:val="18"/>
          <w:u w:val="single"/>
        </w:rPr>
        <w:t>[22]</w:t>
      </w:r>
      <w:r w:rsidRPr="00851945">
        <w:rPr>
          <w:rFonts w:ascii="Arial" w:eastAsia="Times New Roman" w:hAnsi="Arial" w:cs="Arial"/>
          <w:color w:val="222222"/>
          <w:sz w:val="18"/>
          <w:szCs w:val="18"/>
        </w:rPr>
        <w:fldChar w:fldCharType="end"/>
      </w:r>
      <w:bookmarkEnd w:id="54"/>
      <w:r w:rsidRPr="00851945">
        <w:rPr>
          <w:rFonts w:ascii="Arial" w:eastAsia="Times New Roman" w:hAnsi="Arial" w:cs="Arial"/>
          <w:color w:val="222222"/>
          <w:sz w:val="18"/>
          <w:szCs w:val="18"/>
        </w:rPr>
        <w:t xml:space="preserve"> The commissioner did not consider whether this exclusion applied, in part because the Court of Appeals had stated in </w:t>
      </w:r>
      <w:r w:rsidRPr="00851945">
        <w:rPr>
          <w:rFonts w:ascii="Arial" w:eastAsia="Times New Roman" w:hAnsi="Arial" w:cs="Arial"/>
          <w:i/>
          <w:iCs/>
          <w:color w:val="222222"/>
          <w:sz w:val="18"/>
          <w:szCs w:val="18"/>
        </w:rPr>
        <w:t>Washburn</w:t>
      </w:r>
      <w:r w:rsidRPr="00851945">
        <w:rPr>
          <w:rFonts w:ascii="Arial" w:eastAsia="Times New Roman" w:hAnsi="Arial" w:cs="Arial"/>
          <w:color w:val="222222"/>
          <w:sz w:val="18"/>
          <w:szCs w:val="18"/>
        </w:rPr>
        <w:t xml:space="preserve"> that the use of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for medical purposes was "not unlawful," which the parties and the commissioner concluded was sufficient to answer employer's reliance on ORS 659A.124. Although we could remand this case to the commissioner to permit him to address whether this exclusion applies, its application in this case turns solely on an issue of statutory interpretation, an issue on which we owe the commissioner no deference. In these circumstances, we see no need to remand and unnecessarily prolong the resolution of this case.</w:t>
      </w:r>
    </w:p>
    <w:bookmarkStart w:id="55" w:name="[23]"/>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18"/>
          <w:szCs w:val="18"/>
        </w:rPr>
      </w:pPr>
      <w:r w:rsidRPr="00851945">
        <w:rPr>
          <w:rFonts w:ascii="Arial" w:eastAsia="Times New Roman" w:hAnsi="Arial" w:cs="Arial"/>
          <w:color w:val="222222"/>
          <w:sz w:val="18"/>
          <w:szCs w:val="18"/>
        </w:rPr>
        <w:fldChar w:fldCharType="begin"/>
      </w:r>
      <w:r w:rsidRPr="00851945">
        <w:rPr>
          <w:rFonts w:ascii="Arial" w:eastAsia="Times New Roman" w:hAnsi="Arial" w:cs="Arial"/>
          <w:color w:val="222222"/>
          <w:sz w:val="18"/>
          <w:szCs w:val="18"/>
        </w:rPr>
        <w:instrText xml:space="preserve"> HYPERLINK "http://scholar.google.com/scholar_case?case=12394314758738904678&amp;q=emerald+marijuana&amp;hl=en&amp;as_sdt=4,38" \l "r[23]" </w:instrText>
      </w:r>
      <w:r w:rsidRPr="00851945">
        <w:rPr>
          <w:rFonts w:ascii="Arial" w:eastAsia="Times New Roman" w:hAnsi="Arial" w:cs="Arial"/>
          <w:color w:val="222222"/>
          <w:sz w:val="18"/>
          <w:szCs w:val="18"/>
        </w:rPr>
        <w:fldChar w:fldCharType="separate"/>
      </w:r>
      <w:r w:rsidRPr="00851945">
        <w:rPr>
          <w:rFonts w:ascii="Arial" w:eastAsia="Times New Roman" w:hAnsi="Arial" w:cs="Arial"/>
          <w:color w:val="1A0DAB"/>
          <w:sz w:val="18"/>
          <w:szCs w:val="18"/>
          <w:u w:val="single"/>
        </w:rPr>
        <w:t>[23</w:t>
      </w:r>
      <w:proofErr w:type="gramStart"/>
      <w:r w:rsidRPr="00851945">
        <w:rPr>
          <w:rFonts w:ascii="Arial" w:eastAsia="Times New Roman" w:hAnsi="Arial" w:cs="Arial"/>
          <w:color w:val="1A0DAB"/>
          <w:sz w:val="18"/>
          <w:szCs w:val="18"/>
          <w:u w:val="single"/>
        </w:rPr>
        <w:t>]</w:t>
      </w:r>
      <w:proofErr w:type="gramEnd"/>
      <w:r w:rsidRPr="00851945">
        <w:rPr>
          <w:rFonts w:ascii="Arial" w:eastAsia="Times New Roman" w:hAnsi="Arial" w:cs="Arial"/>
          <w:color w:val="222222"/>
          <w:sz w:val="18"/>
          <w:szCs w:val="18"/>
        </w:rPr>
        <w:fldChar w:fldCharType="end"/>
      </w:r>
      <w:bookmarkEnd w:id="55"/>
      <w:r w:rsidRPr="00851945">
        <w:rPr>
          <w:rFonts w:ascii="Arial" w:eastAsia="Times New Roman" w:hAnsi="Arial" w:cs="Arial"/>
          <w:color w:val="222222"/>
          <w:sz w:val="18"/>
          <w:szCs w:val="18"/>
        </w:rPr>
        <w:fldChar w:fldCharType="begin"/>
      </w:r>
      <w:r w:rsidRPr="00851945">
        <w:rPr>
          <w:rFonts w:ascii="Arial" w:eastAsia="Times New Roman" w:hAnsi="Arial" w:cs="Arial"/>
          <w:color w:val="222222"/>
          <w:sz w:val="18"/>
          <w:szCs w:val="18"/>
        </w:rPr>
        <w:instrText xml:space="preserve"> HYPERLINK "http://scholar.google.com/scholar_case?case=17055043890936848595&amp;q=emerald+marijuana&amp;hl=en&amp;as_sdt=4,38" </w:instrText>
      </w:r>
      <w:r w:rsidRPr="00851945">
        <w:rPr>
          <w:rFonts w:ascii="Arial" w:eastAsia="Times New Roman" w:hAnsi="Arial" w:cs="Arial"/>
          <w:color w:val="222222"/>
          <w:sz w:val="18"/>
          <w:szCs w:val="18"/>
        </w:rPr>
        <w:fldChar w:fldCharType="separate"/>
      </w:r>
      <w:r w:rsidRPr="00851945">
        <w:rPr>
          <w:rFonts w:ascii="Arial" w:eastAsia="Times New Roman" w:hAnsi="Arial" w:cs="Arial"/>
          <w:i/>
          <w:iCs/>
          <w:color w:val="1A0DAB"/>
          <w:sz w:val="18"/>
          <w:szCs w:val="18"/>
          <w:u w:val="single"/>
        </w:rPr>
        <w:t>Gonzales v. Oregon,</w:t>
      </w:r>
      <w:r w:rsidRPr="00851945">
        <w:rPr>
          <w:rFonts w:ascii="Arial" w:eastAsia="Times New Roman" w:hAnsi="Arial" w:cs="Arial"/>
          <w:color w:val="1A0DAB"/>
          <w:sz w:val="18"/>
          <w:szCs w:val="18"/>
          <w:u w:val="single"/>
        </w:rPr>
        <w:t xml:space="preserve"> 546 U.S. 243, 126 </w:t>
      </w:r>
      <w:proofErr w:type="spellStart"/>
      <w:r w:rsidRPr="00851945">
        <w:rPr>
          <w:rFonts w:ascii="Arial" w:eastAsia="Times New Roman" w:hAnsi="Arial" w:cs="Arial"/>
          <w:color w:val="1A0DAB"/>
          <w:sz w:val="18"/>
          <w:szCs w:val="18"/>
          <w:u w:val="single"/>
        </w:rPr>
        <w:t>S.Ct</w:t>
      </w:r>
      <w:proofErr w:type="spellEnd"/>
      <w:r w:rsidRPr="00851945">
        <w:rPr>
          <w:rFonts w:ascii="Arial" w:eastAsia="Times New Roman" w:hAnsi="Arial" w:cs="Arial"/>
          <w:color w:val="1A0DAB"/>
          <w:sz w:val="18"/>
          <w:szCs w:val="18"/>
          <w:u w:val="single"/>
        </w:rPr>
        <w:t>. 904, 163 L.Ed.2d 748 (2006),</w:t>
      </w:r>
      <w:r w:rsidRPr="00851945">
        <w:rPr>
          <w:rFonts w:ascii="Arial" w:eastAsia="Times New Roman" w:hAnsi="Arial" w:cs="Arial"/>
          <w:color w:val="222222"/>
          <w:sz w:val="18"/>
          <w:szCs w:val="18"/>
        </w:rPr>
        <w:fldChar w:fldCharType="end"/>
      </w:r>
      <w:r w:rsidRPr="00851945">
        <w:rPr>
          <w:rFonts w:ascii="Arial" w:eastAsia="Times New Roman" w:hAnsi="Arial" w:cs="Arial"/>
          <w:color w:val="222222"/>
          <w:sz w:val="18"/>
          <w:szCs w:val="18"/>
        </w:rPr>
        <w:t xml:space="preserve"> addressed a different issue from the one presented here. The Controlled Substances Act provides that Schedule II controlled substances have accepted medical uses, and the issue in </w:t>
      </w:r>
      <w:r w:rsidRPr="00851945">
        <w:rPr>
          <w:rFonts w:ascii="Arial" w:eastAsia="Times New Roman" w:hAnsi="Arial" w:cs="Arial"/>
          <w:i/>
          <w:iCs/>
          <w:color w:val="222222"/>
          <w:sz w:val="18"/>
          <w:szCs w:val="18"/>
        </w:rPr>
        <w:t>Gonzales</w:t>
      </w:r>
      <w:r w:rsidRPr="00851945">
        <w:rPr>
          <w:rFonts w:ascii="Arial" w:eastAsia="Times New Roman" w:hAnsi="Arial" w:cs="Arial"/>
          <w:color w:val="222222"/>
          <w:sz w:val="18"/>
          <w:szCs w:val="18"/>
        </w:rPr>
        <w:t xml:space="preserve"> was whether the Attorney General had exceeded his statutory authority in defining which uses of Schedule II controlled substances were legitimate medical uses. In this case, by contrast, the Controlled Substances Act provides that Schedule I controlled substances, such as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have no accepted medical use. That congressional policy choice both addresses and conclusively resolves the issue that the Attorney General lacked statutory authority to address in </w:t>
      </w:r>
      <w:r w:rsidRPr="00851945">
        <w:rPr>
          <w:rFonts w:ascii="Arial" w:eastAsia="Times New Roman" w:hAnsi="Arial" w:cs="Arial"/>
          <w:i/>
          <w:iCs/>
          <w:color w:val="222222"/>
          <w:sz w:val="18"/>
          <w:szCs w:val="18"/>
        </w:rPr>
        <w:t>Gonzales.</w:t>
      </w:r>
    </w:p>
    <w:bookmarkStart w:id="56" w:name="[24]"/>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18"/>
          <w:szCs w:val="18"/>
        </w:rPr>
      </w:pPr>
      <w:r w:rsidRPr="00851945">
        <w:rPr>
          <w:rFonts w:ascii="Arial" w:eastAsia="Times New Roman" w:hAnsi="Arial" w:cs="Arial"/>
          <w:color w:val="222222"/>
          <w:sz w:val="18"/>
          <w:szCs w:val="18"/>
        </w:rPr>
        <w:fldChar w:fldCharType="begin"/>
      </w:r>
      <w:r w:rsidRPr="00851945">
        <w:rPr>
          <w:rFonts w:ascii="Arial" w:eastAsia="Times New Roman" w:hAnsi="Arial" w:cs="Arial"/>
          <w:color w:val="222222"/>
          <w:sz w:val="18"/>
          <w:szCs w:val="18"/>
        </w:rPr>
        <w:instrText xml:space="preserve"> HYPERLINK "http://scholar.google.com/scholar_case?case=12394314758738904678&amp;q=emerald+marijuana&amp;hl=en&amp;as_sdt=4,38" \l "r[24]" </w:instrText>
      </w:r>
      <w:r w:rsidRPr="00851945">
        <w:rPr>
          <w:rFonts w:ascii="Arial" w:eastAsia="Times New Roman" w:hAnsi="Arial" w:cs="Arial"/>
          <w:color w:val="222222"/>
          <w:sz w:val="18"/>
          <w:szCs w:val="18"/>
        </w:rPr>
        <w:fldChar w:fldCharType="separate"/>
      </w:r>
      <w:r w:rsidRPr="00851945">
        <w:rPr>
          <w:rFonts w:ascii="Arial" w:eastAsia="Times New Roman" w:hAnsi="Arial" w:cs="Arial"/>
          <w:color w:val="1A0DAB"/>
          <w:sz w:val="18"/>
          <w:szCs w:val="18"/>
          <w:u w:val="single"/>
        </w:rPr>
        <w:t>[1]</w:t>
      </w:r>
      <w:r w:rsidRPr="00851945">
        <w:rPr>
          <w:rFonts w:ascii="Arial" w:eastAsia="Times New Roman" w:hAnsi="Arial" w:cs="Arial"/>
          <w:color w:val="222222"/>
          <w:sz w:val="18"/>
          <w:szCs w:val="18"/>
        </w:rPr>
        <w:fldChar w:fldCharType="end"/>
      </w:r>
      <w:bookmarkEnd w:id="56"/>
      <w:r w:rsidRPr="00851945">
        <w:rPr>
          <w:rFonts w:ascii="Arial" w:eastAsia="Times New Roman" w:hAnsi="Arial" w:cs="Arial"/>
          <w:color w:val="222222"/>
          <w:sz w:val="18"/>
          <w:szCs w:val="18"/>
        </w:rPr>
        <w:t xml:space="preserve"> Consistent with the Attorney General's letter opinion, ORS 475.300(4) provides that ORS 475.300 to 475.346—the entirety of the Oregon Medical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Act—is "intended to make only those changes to existing </w:t>
      </w:r>
      <w:r w:rsidRPr="00851945">
        <w:rPr>
          <w:rFonts w:ascii="Arial" w:eastAsia="Times New Roman" w:hAnsi="Arial" w:cs="Arial"/>
          <w:i/>
          <w:iCs/>
          <w:color w:val="222222"/>
          <w:sz w:val="18"/>
          <w:szCs w:val="18"/>
        </w:rPr>
        <w:t>Oregon laws</w:t>
      </w:r>
      <w:r w:rsidRPr="00851945">
        <w:rPr>
          <w:rFonts w:ascii="Arial" w:eastAsia="Times New Roman" w:hAnsi="Arial" w:cs="Arial"/>
          <w:color w:val="222222"/>
          <w:sz w:val="18"/>
          <w:szCs w:val="18"/>
        </w:rPr>
        <w:t xml:space="preserve"> that are necessary to protect patients and their doctors from criminal and civil </w:t>
      </w:r>
      <w:proofErr w:type="gramStart"/>
      <w:r w:rsidRPr="00851945">
        <w:rPr>
          <w:rFonts w:ascii="Arial" w:eastAsia="Times New Roman" w:hAnsi="Arial" w:cs="Arial"/>
          <w:color w:val="222222"/>
          <w:sz w:val="18"/>
          <w:szCs w:val="18"/>
        </w:rPr>
        <w:t>penalties[</w:t>
      </w:r>
      <w:proofErr w:type="gramEnd"/>
      <w:r w:rsidRPr="00851945">
        <w:rPr>
          <w:rFonts w:ascii="Arial" w:eastAsia="Times New Roman" w:hAnsi="Arial" w:cs="Arial"/>
          <w:color w:val="222222"/>
          <w:sz w:val="18"/>
          <w:szCs w:val="18"/>
        </w:rPr>
        <w:t>.]" (Emphasis added.)</w:t>
      </w:r>
    </w:p>
    <w:bookmarkStart w:id="57" w:name="[25]"/>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18"/>
          <w:szCs w:val="18"/>
        </w:rPr>
      </w:pPr>
      <w:r w:rsidRPr="00851945">
        <w:rPr>
          <w:rFonts w:ascii="Arial" w:eastAsia="Times New Roman" w:hAnsi="Arial" w:cs="Arial"/>
          <w:color w:val="222222"/>
          <w:sz w:val="18"/>
          <w:szCs w:val="18"/>
        </w:rPr>
        <w:fldChar w:fldCharType="begin"/>
      </w:r>
      <w:r w:rsidRPr="00851945">
        <w:rPr>
          <w:rFonts w:ascii="Arial" w:eastAsia="Times New Roman" w:hAnsi="Arial" w:cs="Arial"/>
          <w:color w:val="222222"/>
          <w:sz w:val="18"/>
          <w:szCs w:val="18"/>
        </w:rPr>
        <w:instrText xml:space="preserve"> HYPERLINK "http://scholar.google.com/scholar_case?case=12394314758738904678&amp;q=emerald+marijuana&amp;hl=en&amp;as_sdt=4,38" \l "r[25]" </w:instrText>
      </w:r>
      <w:r w:rsidRPr="00851945">
        <w:rPr>
          <w:rFonts w:ascii="Arial" w:eastAsia="Times New Roman" w:hAnsi="Arial" w:cs="Arial"/>
          <w:color w:val="222222"/>
          <w:sz w:val="18"/>
          <w:szCs w:val="18"/>
        </w:rPr>
        <w:fldChar w:fldCharType="separate"/>
      </w:r>
      <w:r w:rsidRPr="00851945">
        <w:rPr>
          <w:rFonts w:ascii="Arial" w:eastAsia="Times New Roman" w:hAnsi="Arial" w:cs="Arial"/>
          <w:color w:val="1A0DAB"/>
          <w:sz w:val="18"/>
          <w:szCs w:val="18"/>
          <w:u w:val="single"/>
        </w:rPr>
        <w:t>[2]</w:t>
      </w:r>
      <w:r w:rsidRPr="00851945">
        <w:rPr>
          <w:rFonts w:ascii="Arial" w:eastAsia="Times New Roman" w:hAnsi="Arial" w:cs="Arial"/>
          <w:color w:val="222222"/>
          <w:sz w:val="18"/>
          <w:szCs w:val="18"/>
        </w:rPr>
        <w:fldChar w:fldCharType="end"/>
      </w:r>
      <w:bookmarkEnd w:id="57"/>
      <w:r w:rsidRPr="00851945">
        <w:rPr>
          <w:rFonts w:ascii="Arial" w:eastAsia="Times New Roman" w:hAnsi="Arial" w:cs="Arial"/>
          <w:color w:val="222222"/>
          <w:sz w:val="18"/>
          <w:szCs w:val="18"/>
        </w:rPr>
        <w:t xml:space="preserve"> The question that the Oregon Attorney General answered in the letter opinion was "Does </w:t>
      </w:r>
      <w:hyperlink r:id="rId151" w:history="1">
        <w:r w:rsidRPr="00851945">
          <w:rPr>
            <w:rFonts w:ascii="Arial" w:eastAsia="Times New Roman" w:hAnsi="Arial" w:cs="Arial"/>
            <w:i/>
            <w:iCs/>
            <w:color w:val="1A0DAB"/>
            <w:sz w:val="18"/>
            <w:szCs w:val="18"/>
            <w:u w:val="single"/>
          </w:rPr>
          <w:t xml:space="preserve">Gonzales v. </w:t>
        </w:r>
        <w:proofErr w:type="spellStart"/>
        <w:r w:rsidRPr="00851945">
          <w:rPr>
            <w:rFonts w:ascii="Arial" w:eastAsia="Times New Roman" w:hAnsi="Arial" w:cs="Arial"/>
            <w:i/>
            <w:iCs/>
            <w:color w:val="1A0DAB"/>
            <w:sz w:val="18"/>
            <w:szCs w:val="18"/>
            <w:u w:val="single"/>
          </w:rPr>
          <w:t>Raich</w:t>
        </w:r>
        <w:proofErr w:type="spellEnd"/>
      </w:hyperlink>
      <w:r w:rsidRPr="00851945">
        <w:rPr>
          <w:rFonts w:ascii="Arial" w:eastAsia="Times New Roman" w:hAnsi="Arial" w:cs="Arial"/>
          <w:i/>
          <w:iCs/>
          <w:color w:val="222222"/>
          <w:sz w:val="18"/>
          <w:szCs w:val="18"/>
        </w:rPr>
        <w:t>,</w:t>
      </w:r>
      <w:r w:rsidRPr="00851945">
        <w:rPr>
          <w:rFonts w:ascii="Arial" w:eastAsia="Times New Roman" w:hAnsi="Arial" w:cs="Arial"/>
          <w:color w:val="222222"/>
          <w:sz w:val="18"/>
          <w:szCs w:val="18"/>
        </w:rPr>
        <w:t xml:space="preserve"> 545 U.S. [1, </w:t>
      </w:r>
      <w:hyperlink r:id="rId152" w:history="1">
        <w:r w:rsidRPr="00851945">
          <w:rPr>
            <w:rFonts w:ascii="Arial" w:eastAsia="Times New Roman" w:hAnsi="Arial" w:cs="Arial"/>
            <w:color w:val="1A0DAB"/>
            <w:sz w:val="18"/>
            <w:szCs w:val="18"/>
            <w:u w:val="single"/>
          </w:rPr>
          <w:t xml:space="preserve">125 </w:t>
        </w:r>
        <w:proofErr w:type="spellStart"/>
        <w:r w:rsidRPr="00851945">
          <w:rPr>
            <w:rFonts w:ascii="Arial" w:eastAsia="Times New Roman" w:hAnsi="Arial" w:cs="Arial"/>
            <w:color w:val="1A0DAB"/>
            <w:sz w:val="18"/>
            <w:szCs w:val="18"/>
            <w:u w:val="single"/>
          </w:rPr>
          <w:t>S.Ct</w:t>
        </w:r>
        <w:proofErr w:type="spellEnd"/>
        <w:r w:rsidRPr="00851945">
          <w:rPr>
            <w:rFonts w:ascii="Arial" w:eastAsia="Times New Roman" w:hAnsi="Arial" w:cs="Arial"/>
            <w:color w:val="1A0DAB"/>
            <w:sz w:val="18"/>
            <w:szCs w:val="18"/>
            <w:u w:val="single"/>
          </w:rPr>
          <w:t>. 2195, 162 L.Ed.2d 1] (2005),</w:t>
        </w:r>
      </w:hyperlink>
      <w:r w:rsidRPr="00851945">
        <w:rPr>
          <w:rFonts w:ascii="Arial" w:eastAsia="Times New Roman" w:hAnsi="Arial" w:cs="Arial"/>
          <w:color w:val="222222"/>
          <w:sz w:val="18"/>
          <w:szCs w:val="18"/>
        </w:rPr>
        <w:t xml:space="preserve"> * * * invalidate the Oregon statutes authorizing the operation of the Oregon Medical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Program?" The Attorney General said, "No." The Attorney General explained that "[t]he Act protects medical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users who comply with its requirements from state criminal prosecution for production, possession, or delivery of a controlled substance," and cited ORS 475.309, ORS 475.319, and ORS 475.306(2). At the time of the Attorney General opinion, ORS 475.306(2) (2003) provided:</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18"/>
          <w:szCs w:val="18"/>
        </w:rPr>
      </w:pPr>
      <w:r w:rsidRPr="00851945">
        <w:rPr>
          <w:rFonts w:ascii="Arial" w:eastAsia="Times New Roman" w:hAnsi="Arial" w:cs="Arial"/>
          <w:color w:val="222222"/>
          <w:sz w:val="18"/>
          <w:szCs w:val="18"/>
        </w:rPr>
        <w:lastRenderedPageBreak/>
        <w:t xml:space="preserve">"If the individuals described in subsection (1) of this section possess, deliver or produce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in excess of the amounts </w:t>
      </w:r>
      <w:r w:rsidRPr="00851945">
        <w:rPr>
          <w:rFonts w:ascii="Arial" w:eastAsia="Times New Roman" w:hAnsi="Arial" w:cs="Arial"/>
          <w:i/>
          <w:iCs/>
          <w:color w:val="222222"/>
          <w:sz w:val="18"/>
          <w:szCs w:val="18"/>
        </w:rPr>
        <w:t>allowed</w:t>
      </w:r>
      <w:r w:rsidRPr="00851945">
        <w:rPr>
          <w:rFonts w:ascii="Arial" w:eastAsia="Times New Roman" w:hAnsi="Arial" w:cs="Arial"/>
          <w:color w:val="222222"/>
          <w:sz w:val="18"/>
          <w:szCs w:val="18"/>
        </w:rPr>
        <w:t xml:space="preserve"> in subsection (1) of this section, such individuals are not excepted from the criminal laws of the state but may establish an affirmative defense to such charges, by a preponderance of the evidence that the greater amount is medically necessary to mitigate the symptoms or effects of the person's debilitating medical condition."</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18"/>
          <w:szCs w:val="18"/>
        </w:rPr>
      </w:pPr>
      <w:r w:rsidRPr="00851945">
        <w:rPr>
          <w:rFonts w:ascii="Arial" w:eastAsia="Times New Roman" w:hAnsi="Arial" w:cs="Arial"/>
          <w:color w:val="222222"/>
          <w:sz w:val="18"/>
          <w:szCs w:val="18"/>
        </w:rPr>
        <w:t xml:space="preserve">ORS 475.306(2) (2003), </w:t>
      </w:r>
      <w:r w:rsidRPr="00851945">
        <w:rPr>
          <w:rFonts w:ascii="Arial" w:eastAsia="Times New Roman" w:hAnsi="Arial" w:cs="Arial"/>
          <w:i/>
          <w:iCs/>
          <w:color w:val="222222"/>
          <w:sz w:val="18"/>
          <w:szCs w:val="18"/>
        </w:rPr>
        <w:t>amended by</w:t>
      </w:r>
      <w:r w:rsidRPr="00851945">
        <w:rPr>
          <w:rFonts w:ascii="Arial" w:eastAsia="Times New Roman" w:hAnsi="Arial" w:cs="Arial"/>
          <w:color w:val="222222"/>
          <w:sz w:val="18"/>
          <w:szCs w:val="18"/>
        </w:rPr>
        <w:t xml:space="preserve"> </w:t>
      </w:r>
      <w:proofErr w:type="gramStart"/>
      <w:r w:rsidRPr="00851945">
        <w:rPr>
          <w:rFonts w:ascii="Arial" w:eastAsia="Times New Roman" w:hAnsi="Arial" w:cs="Arial"/>
          <w:color w:val="222222"/>
          <w:sz w:val="18"/>
          <w:szCs w:val="18"/>
        </w:rPr>
        <w:t>Or</w:t>
      </w:r>
      <w:proofErr w:type="gramEnd"/>
      <w:r w:rsidRPr="00851945">
        <w:rPr>
          <w:rFonts w:ascii="Arial" w:eastAsia="Times New Roman" w:hAnsi="Arial" w:cs="Arial"/>
          <w:color w:val="222222"/>
          <w:sz w:val="18"/>
          <w:szCs w:val="18"/>
        </w:rPr>
        <w:t xml:space="preserve">. Laws 2005, </w:t>
      </w:r>
      <w:proofErr w:type="spellStart"/>
      <w:r w:rsidRPr="00851945">
        <w:rPr>
          <w:rFonts w:ascii="Arial" w:eastAsia="Times New Roman" w:hAnsi="Arial" w:cs="Arial"/>
          <w:color w:val="222222"/>
          <w:sz w:val="18"/>
          <w:szCs w:val="18"/>
        </w:rPr>
        <w:t>ch.</w:t>
      </w:r>
      <w:proofErr w:type="spellEnd"/>
      <w:r w:rsidRPr="00851945">
        <w:rPr>
          <w:rFonts w:ascii="Arial" w:eastAsia="Times New Roman" w:hAnsi="Arial" w:cs="Arial"/>
          <w:color w:val="222222"/>
          <w:sz w:val="18"/>
          <w:szCs w:val="18"/>
        </w:rPr>
        <w:t xml:space="preserve"> 822, § 2 (emphasis added). Thus, one of the subsections of the Oregon Medical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Act that the Attorney General cited used words of authorization very similar to those used in ORS 475.306(1).</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18"/>
          <w:szCs w:val="18"/>
        </w:rPr>
      </w:pPr>
      <w:r w:rsidRPr="00851945">
        <w:rPr>
          <w:rFonts w:ascii="Arial" w:eastAsia="Times New Roman" w:hAnsi="Arial" w:cs="Arial"/>
          <w:color w:val="222222"/>
          <w:sz w:val="18"/>
          <w:szCs w:val="18"/>
        </w:rPr>
        <w:t xml:space="preserve">Throughout the opinion, the Attorney General discussed the continued validity of the Oregon Medical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Act as a whole and did not in any way differentiate between provisions of the act that authorize medical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use and those that create an exemption from state prosecution. In fact, the Attorney General specifically opined that the state is entitled to continue to issue registry identification cards—cards that, by definition, are documents that identify persons "</w:t>
      </w:r>
      <w:r w:rsidRPr="00851945">
        <w:rPr>
          <w:rFonts w:ascii="Arial" w:eastAsia="Times New Roman" w:hAnsi="Arial" w:cs="Arial"/>
          <w:i/>
          <w:iCs/>
          <w:color w:val="222222"/>
          <w:sz w:val="18"/>
          <w:szCs w:val="18"/>
        </w:rPr>
        <w:t>authorized</w:t>
      </w:r>
      <w:r w:rsidRPr="00851945">
        <w:rPr>
          <w:rFonts w:ascii="Arial" w:eastAsia="Times New Roman" w:hAnsi="Arial" w:cs="Arial"/>
          <w:color w:val="222222"/>
          <w:sz w:val="18"/>
          <w:szCs w:val="18"/>
        </w:rPr>
        <w:t xml:space="preserve"> to engage in the medical use of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ORS 475.302(10) (emphasis added).</w:t>
      </w:r>
    </w:p>
    <w:bookmarkStart w:id="58" w:name="[26]"/>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18"/>
          <w:szCs w:val="18"/>
        </w:rPr>
      </w:pPr>
      <w:r w:rsidRPr="00851945">
        <w:rPr>
          <w:rFonts w:ascii="Arial" w:eastAsia="Times New Roman" w:hAnsi="Arial" w:cs="Arial"/>
          <w:color w:val="222222"/>
          <w:sz w:val="18"/>
          <w:szCs w:val="18"/>
        </w:rPr>
        <w:fldChar w:fldCharType="begin"/>
      </w:r>
      <w:r w:rsidRPr="00851945">
        <w:rPr>
          <w:rFonts w:ascii="Arial" w:eastAsia="Times New Roman" w:hAnsi="Arial" w:cs="Arial"/>
          <w:color w:val="222222"/>
          <w:sz w:val="18"/>
          <w:szCs w:val="18"/>
        </w:rPr>
        <w:instrText xml:space="preserve"> HYPERLINK "http://scholar.google.com/scholar_case?case=12394314758738904678&amp;q=emerald+marijuana&amp;hl=en&amp;as_sdt=4,38" \l "r[26]" </w:instrText>
      </w:r>
      <w:r w:rsidRPr="00851945">
        <w:rPr>
          <w:rFonts w:ascii="Arial" w:eastAsia="Times New Roman" w:hAnsi="Arial" w:cs="Arial"/>
          <w:color w:val="222222"/>
          <w:sz w:val="18"/>
          <w:szCs w:val="18"/>
        </w:rPr>
        <w:fldChar w:fldCharType="separate"/>
      </w:r>
      <w:r w:rsidRPr="00851945">
        <w:rPr>
          <w:rFonts w:ascii="Arial" w:eastAsia="Times New Roman" w:hAnsi="Arial" w:cs="Arial"/>
          <w:color w:val="1A0DAB"/>
          <w:sz w:val="18"/>
          <w:szCs w:val="18"/>
          <w:u w:val="single"/>
        </w:rPr>
        <w:t>[3]</w:t>
      </w:r>
      <w:r w:rsidRPr="00851945">
        <w:rPr>
          <w:rFonts w:ascii="Arial" w:eastAsia="Times New Roman" w:hAnsi="Arial" w:cs="Arial"/>
          <w:color w:val="222222"/>
          <w:sz w:val="18"/>
          <w:szCs w:val="18"/>
        </w:rPr>
        <w:fldChar w:fldCharType="end"/>
      </w:r>
      <w:bookmarkEnd w:id="58"/>
      <w:r w:rsidRPr="00851945">
        <w:rPr>
          <w:rFonts w:ascii="Arial" w:eastAsia="Times New Roman" w:hAnsi="Arial" w:cs="Arial"/>
          <w:color w:val="222222"/>
          <w:sz w:val="18"/>
          <w:szCs w:val="18"/>
        </w:rPr>
        <w:t xml:space="preserve"> The majority expressly leaves that question open, however. 348 Or. </w:t>
      </w:r>
      <w:proofErr w:type="gramStart"/>
      <w:r w:rsidRPr="00851945">
        <w:rPr>
          <w:rFonts w:ascii="Arial" w:eastAsia="Times New Roman" w:hAnsi="Arial" w:cs="Arial"/>
          <w:color w:val="222222"/>
          <w:sz w:val="18"/>
          <w:szCs w:val="18"/>
        </w:rPr>
        <w:t>at</w:t>
      </w:r>
      <w:proofErr w:type="gramEnd"/>
      <w:r w:rsidRPr="00851945">
        <w:rPr>
          <w:rFonts w:ascii="Arial" w:eastAsia="Times New Roman" w:hAnsi="Arial" w:cs="Arial"/>
          <w:color w:val="222222"/>
          <w:sz w:val="18"/>
          <w:szCs w:val="18"/>
        </w:rPr>
        <w:t xml:space="preserve"> 172 n. 12, 230 P.3d at 526 n. 12.</w:t>
      </w:r>
    </w:p>
    <w:bookmarkStart w:id="59" w:name="[27]"/>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18"/>
          <w:szCs w:val="18"/>
        </w:rPr>
      </w:pPr>
      <w:r w:rsidRPr="00851945">
        <w:rPr>
          <w:rFonts w:ascii="Arial" w:eastAsia="Times New Roman" w:hAnsi="Arial" w:cs="Arial"/>
          <w:color w:val="222222"/>
          <w:sz w:val="18"/>
          <w:szCs w:val="18"/>
        </w:rPr>
        <w:fldChar w:fldCharType="begin"/>
      </w:r>
      <w:r w:rsidRPr="00851945">
        <w:rPr>
          <w:rFonts w:ascii="Arial" w:eastAsia="Times New Roman" w:hAnsi="Arial" w:cs="Arial"/>
          <w:color w:val="222222"/>
          <w:sz w:val="18"/>
          <w:szCs w:val="18"/>
        </w:rPr>
        <w:instrText xml:space="preserve"> HYPERLINK "http://scholar.google.com/scholar_case?case=12394314758738904678&amp;q=emerald+marijuana&amp;hl=en&amp;as_sdt=4,38" \l "r[27]" </w:instrText>
      </w:r>
      <w:r w:rsidRPr="00851945">
        <w:rPr>
          <w:rFonts w:ascii="Arial" w:eastAsia="Times New Roman" w:hAnsi="Arial" w:cs="Arial"/>
          <w:color w:val="222222"/>
          <w:sz w:val="18"/>
          <w:szCs w:val="18"/>
        </w:rPr>
        <w:fldChar w:fldCharType="separate"/>
      </w:r>
      <w:r w:rsidRPr="00851945">
        <w:rPr>
          <w:rFonts w:ascii="Arial" w:eastAsia="Times New Roman" w:hAnsi="Arial" w:cs="Arial"/>
          <w:color w:val="1A0DAB"/>
          <w:sz w:val="18"/>
          <w:szCs w:val="18"/>
          <w:u w:val="single"/>
        </w:rPr>
        <w:t>[4]</w:t>
      </w:r>
      <w:r w:rsidRPr="00851945">
        <w:rPr>
          <w:rFonts w:ascii="Arial" w:eastAsia="Times New Roman" w:hAnsi="Arial" w:cs="Arial"/>
          <w:color w:val="222222"/>
          <w:sz w:val="18"/>
          <w:szCs w:val="18"/>
        </w:rPr>
        <w:fldChar w:fldCharType="end"/>
      </w:r>
      <w:bookmarkEnd w:id="59"/>
      <w:r w:rsidRPr="00851945">
        <w:rPr>
          <w:rFonts w:ascii="Arial" w:eastAsia="Times New Roman" w:hAnsi="Arial" w:cs="Arial"/>
          <w:color w:val="222222"/>
          <w:sz w:val="18"/>
          <w:szCs w:val="18"/>
        </w:rPr>
        <w:t xml:space="preserve"> The majority recognizes that it is essential to read ORS 475.306(1) and ORS 475.302(10) together to find an affirmative authorization to use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for medicinal purposes. 348 Or. </w:t>
      </w:r>
      <w:proofErr w:type="gramStart"/>
      <w:r w:rsidRPr="00851945">
        <w:rPr>
          <w:rFonts w:ascii="Arial" w:eastAsia="Times New Roman" w:hAnsi="Arial" w:cs="Arial"/>
          <w:color w:val="222222"/>
          <w:sz w:val="18"/>
          <w:szCs w:val="18"/>
        </w:rPr>
        <w:t>at</w:t>
      </w:r>
      <w:proofErr w:type="gramEnd"/>
      <w:r w:rsidRPr="00851945">
        <w:rPr>
          <w:rFonts w:ascii="Arial" w:eastAsia="Times New Roman" w:hAnsi="Arial" w:cs="Arial"/>
          <w:color w:val="222222"/>
          <w:sz w:val="18"/>
          <w:szCs w:val="18"/>
        </w:rPr>
        <w:t xml:space="preserve"> 170-71, 230 P.3d at 525. However, the majority does not explain why it finds ORS 475.306(1) and not ORS 475.302(10) preempted.</w:t>
      </w:r>
    </w:p>
    <w:bookmarkStart w:id="60" w:name="[28]"/>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18"/>
          <w:szCs w:val="18"/>
        </w:rPr>
      </w:pPr>
      <w:r w:rsidRPr="00851945">
        <w:rPr>
          <w:rFonts w:ascii="Arial" w:eastAsia="Times New Roman" w:hAnsi="Arial" w:cs="Arial"/>
          <w:color w:val="222222"/>
          <w:sz w:val="18"/>
          <w:szCs w:val="18"/>
        </w:rPr>
        <w:fldChar w:fldCharType="begin"/>
      </w:r>
      <w:r w:rsidRPr="00851945">
        <w:rPr>
          <w:rFonts w:ascii="Arial" w:eastAsia="Times New Roman" w:hAnsi="Arial" w:cs="Arial"/>
          <w:color w:val="222222"/>
          <w:sz w:val="18"/>
          <w:szCs w:val="18"/>
        </w:rPr>
        <w:instrText xml:space="preserve"> HYPERLINK "http://scholar.google.com/scholar_case?case=12394314758738904678&amp;q=emerald+marijuana&amp;hl=en&amp;as_sdt=4,38" \l "r[28]" </w:instrText>
      </w:r>
      <w:r w:rsidRPr="00851945">
        <w:rPr>
          <w:rFonts w:ascii="Arial" w:eastAsia="Times New Roman" w:hAnsi="Arial" w:cs="Arial"/>
          <w:color w:val="222222"/>
          <w:sz w:val="18"/>
          <w:szCs w:val="18"/>
        </w:rPr>
        <w:fldChar w:fldCharType="separate"/>
      </w:r>
      <w:r w:rsidRPr="00851945">
        <w:rPr>
          <w:rFonts w:ascii="Arial" w:eastAsia="Times New Roman" w:hAnsi="Arial" w:cs="Arial"/>
          <w:color w:val="1A0DAB"/>
          <w:sz w:val="18"/>
          <w:szCs w:val="18"/>
          <w:u w:val="single"/>
        </w:rPr>
        <w:t>[5</w:t>
      </w:r>
      <w:proofErr w:type="gramStart"/>
      <w:r w:rsidRPr="00851945">
        <w:rPr>
          <w:rFonts w:ascii="Arial" w:eastAsia="Times New Roman" w:hAnsi="Arial" w:cs="Arial"/>
          <w:color w:val="1A0DAB"/>
          <w:sz w:val="18"/>
          <w:szCs w:val="18"/>
          <w:u w:val="single"/>
        </w:rPr>
        <w:t>]</w:t>
      </w:r>
      <w:proofErr w:type="gramEnd"/>
      <w:r w:rsidRPr="00851945">
        <w:rPr>
          <w:rFonts w:ascii="Arial" w:eastAsia="Times New Roman" w:hAnsi="Arial" w:cs="Arial"/>
          <w:color w:val="222222"/>
          <w:sz w:val="18"/>
          <w:szCs w:val="18"/>
        </w:rPr>
        <w:fldChar w:fldCharType="end"/>
      </w:r>
      <w:bookmarkEnd w:id="60"/>
      <w:r w:rsidRPr="00851945">
        <w:rPr>
          <w:rFonts w:ascii="Arial" w:eastAsia="Times New Roman" w:hAnsi="Arial" w:cs="Arial"/>
          <w:color w:val="222222"/>
          <w:sz w:val="18"/>
          <w:szCs w:val="18"/>
        </w:rPr>
        <w:fldChar w:fldCharType="begin"/>
      </w:r>
      <w:r w:rsidRPr="00851945">
        <w:rPr>
          <w:rFonts w:ascii="Arial" w:eastAsia="Times New Roman" w:hAnsi="Arial" w:cs="Arial"/>
          <w:color w:val="222222"/>
          <w:sz w:val="18"/>
          <w:szCs w:val="18"/>
        </w:rPr>
        <w:instrText xml:space="preserve"> HYPERLINK "http://scholar.google.com/scholar_case?case=120720898820059075&amp;q=emerald+marijuana&amp;hl=en&amp;as_sdt=4,38" </w:instrText>
      </w:r>
      <w:r w:rsidRPr="00851945">
        <w:rPr>
          <w:rFonts w:ascii="Arial" w:eastAsia="Times New Roman" w:hAnsi="Arial" w:cs="Arial"/>
          <w:color w:val="222222"/>
          <w:sz w:val="18"/>
          <w:szCs w:val="18"/>
        </w:rPr>
        <w:fldChar w:fldCharType="separate"/>
      </w:r>
      <w:r w:rsidRPr="00851945">
        <w:rPr>
          <w:rFonts w:ascii="Arial" w:eastAsia="Times New Roman" w:hAnsi="Arial" w:cs="Arial"/>
          <w:i/>
          <w:iCs/>
          <w:color w:val="1A0DAB"/>
          <w:sz w:val="18"/>
          <w:szCs w:val="18"/>
          <w:u w:val="single"/>
        </w:rPr>
        <w:t xml:space="preserve">Pacific Gas &amp; Elec. v. Energy Resources Conservation &amp; Development </w:t>
      </w:r>
      <w:proofErr w:type="spellStart"/>
      <w:r w:rsidRPr="00851945">
        <w:rPr>
          <w:rFonts w:ascii="Arial" w:eastAsia="Times New Roman" w:hAnsi="Arial" w:cs="Arial"/>
          <w:i/>
          <w:iCs/>
          <w:color w:val="1A0DAB"/>
          <w:sz w:val="18"/>
          <w:szCs w:val="18"/>
          <w:u w:val="single"/>
        </w:rPr>
        <w:t>Comm'n</w:t>
      </w:r>
      <w:proofErr w:type="spellEnd"/>
      <w:r w:rsidRPr="00851945">
        <w:rPr>
          <w:rFonts w:ascii="Arial" w:eastAsia="Times New Roman" w:hAnsi="Arial" w:cs="Arial"/>
          <w:i/>
          <w:iCs/>
          <w:color w:val="1A0DAB"/>
          <w:sz w:val="18"/>
          <w:szCs w:val="18"/>
          <w:u w:val="single"/>
        </w:rPr>
        <w:t>,</w:t>
      </w:r>
      <w:r w:rsidRPr="00851945">
        <w:rPr>
          <w:rFonts w:ascii="Arial" w:eastAsia="Times New Roman" w:hAnsi="Arial" w:cs="Arial"/>
          <w:color w:val="1A0DAB"/>
          <w:sz w:val="18"/>
          <w:szCs w:val="18"/>
          <w:u w:val="single"/>
        </w:rPr>
        <w:t xml:space="preserve"> 461 U.S. 190, 211-13, 103 </w:t>
      </w:r>
      <w:proofErr w:type="spellStart"/>
      <w:r w:rsidRPr="00851945">
        <w:rPr>
          <w:rFonts w:ascii="Arial" w:eastAsia="Times New Roman" w:hAnsi="Arial" w:cs="Arial"/>
          <w:color w:val="1A0DAB"/>
          <w:sz w:val="18"/>
          <w:szCs w:val="18"/>
          <w:u w:val="single"/>
        </w:rPr>
        <w:t>S.Ct</w:t>
      </w:r>
      <w:proofErr w:type="spellEnd"/>
      <w:r w:rsidRPr="00851945">
        <w:rPr>
          <w:rFonts w:ascii="Arial" w:eastAsia="Times New Roman" w:hAnsi="Arial" w:cs="Arial"/>
          <w:color w:val="1A0DAB"/>
          <w:sz w:val="18"/>
          <w:szCs w:val="18"/>
          <w:u w:val="single"/>
        </w:rPr>
        <w:t>. 1713, 75 L.Ed.2d 752 (1983)</w:t>
      </w:r>
      <w:r w:rsidRPr="00851945">
        <w:rPr>
          <w:rFonts w:ascii="Arial" w:eastAsia="Times New Roman" w:hAnsi="Arial" w:cs="Arial"/>
          <w:color w:val="222222"/>
          <w:sz w:val="18"/>
          <w:szCs w:val="18"/>
        </w:rPr>
        <w:fldChar w:fldCharType="end"/>
      </w:r>
      <w:r w:rsidRPr="00851945">
        <w:rPr>
          <w:rFonts w:ascii="Arial" w:eastAsia="Times New Roman" w:hAnsi="Arial" w:cs="Arial"/>
          <w:color w:val="222222"/>
          <w:sz w:val="18"/>
          <w:szCs w:val="18"/>
        </w:rPr>
        <w:t>.</w:t>
      </w:r>
    </w:p>
    <w:bookmarkStart w:id="61" w:name="[29]"/>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18"/>
          <w:szCs w:val="18"/>
        </w:rPr>
      </w:pPr>
      <w:r w:rsidRPr="00851945">
        <w:rPr>
          <w:rFonts w:ascii="Arial" w:eastAsia="Times New Roman" w:hAnsi="Arial" w:cs="Arial"/>
          <w:color w:val="222222"/>
          <w:sz w:val="18"/>
          <w:szCs w:val="18"/>
        </w:rPr>
        <w:fldChar w:fldCharType="begin"/>
      </w:r>
      <w:r w:rsidRPr="00851945">
        <w:rPr>
          <w:rFonts w:ascii="Arial" w:eastAsia="Times New Roman" w:hAnsi="Arial" w:cs="Arial"/>
          <w:color w:val="222222"/>
          <w:sz w:val="18"/>
          <w:szCs w:val="18"/>
        </w:rPr>
        <w:instrText xml:space="preserve"> HYPERLINK "http://scholar.google.com/scholar_case?case=12394314758738904678&amp;q=emerald+marijuana&amp;hl=en&amp;as_sdt=4,38" \l "r[29]" </w:instrText>
      </w:r>
      <w:r w:rsidRPr="00851945">
        <w:rPr>
          <w:rFonts w:ascii="Arial" w:eastAsia="Times New Roman" w:hAnsi="Arial" w:cs="Arial"/>
          <w:color w:val="222222"/>
          <w:sz w:val="18"/>
          <w:szCs w:val="18"/>
        </w:rPr>
        <w:fldChar w:fldCharType="separate"/>
      </w:r>
      <w:r w:rsidRPr="00851945">
        <w:rPr>
          <w:rFonts w:ascii="Arial" w:eastAsia="Times New Roman" w:hAnsi="Arial" w:cs="Arial"/>
          <w:color w:val="1A0DAB"/>
          <w:sz w:val="18"/>
          <w:szCs w:val="18"/>
          <w:u w:val="single"/>
        </w:rPr>
        <w:t>[6]</w:t>
      </w:r>
      <w:r w:rsidRPr="00851945">
        <w:rPr>
          <w:rFonts w:ascii="Arial" w:eastAsia="Times New Roman" w:hAnsi="Arial" w:cs="Arial"/>
          <w:color w:val="222222"/>
          <w:sz w:val="18"/>
          <w:szCs w:val="18"/>
        </w:rPr>
        <w:fldChar w:fldCharType="end"/>
      </w:r>
      <w:bookmarkEnd w:id="61"/>
      <w:r w:rsidRPr="00851945">
        <w:rPr>
          <w:rFonts w:ascii="Arial" w:eastAsia="Times New Roman" w:hAnsi="Arial" w:cs="Arial"/>
          <w:color w:val="222222"/>
          <w:sz w:val="18"/>
          <w:szCs w:val="18"/>
        </w:rPr>
        <w:t xml:space="preserve"> The FDA had also adopted a regulation declaring that "certain state law actions, such as those involving failure-to-warn claims, `threaten FDA's statutorily prescribed role as the expert Federal agency responsible for evaluating and regulating drugs.'" </w:t>
      </w:r>
      <w:proofErr w:type="gramStart"/>
      <w:r w:rsidRPr="00851945">
        <w:rPr>
          <w:rFonts w:ascii="Arial" w:eastAsia="Times New Roman" w:hAnsi="Arial" w:cs="Arial"/>
          <w:i/>
          <w:iCs/>
          <w:color w:val="222222"/>
          <w:sz w:val="18"/>
          <w:szCs w:val="18"/>
        </w:rPr>
        <w:t>Id.</w:t>
      </w:r>
      <w:r w:rsidRPr="00851945">
        <w:rPr>
          <w:rFonts w:ascii="Arial" w:eastAsia="Times New Roman" w:hAnsi="Arial" w:cs="Arial"/>
          <w:color w:val="222222"/>
          <w:sz w:val="18"/>
          <w:szCs w:val="18"/>
        </w:rPr>
        <w:t xml:space="preserve"> at 1200.</w:t>
      </w:r>
      <w:proofErr w:type="gramEnd"/>
    </w:p>
    <w:bookmarkStart w:id="62" w:name="[30]"/>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18"/>
          <w:szCs w:val="18"/>
        </w:rPr>
      </w:pPr>
      <w:r w:rsidRPr="00851945">
        <w:rPr>
          <w:rFonts w:ascii="Arial" w:eastAsia="Times New Roman" w:hAnsi="Arial" w:cs="Arial"/>
          <w:color w:val="222222"/>
          <w:sz w:val="18"/>
          <w:szCs w:val="18"/>
        </w:rPr>
        <w:fldChar w:fldCharType="begin"/>
      </w:r>
      <w:r w:rsidRPr="00851945">
        <w:rPr>
          <w:rFonts w:ascii="Arial" w:eastAsia="Times New Roman" w:hAnsi="Arial" w:cs="Arial"/>
          <w:color w:val="222222"/>
          <w:sz w:val="18"/>
          <w:szCs w:val="18"/>
        </w:rPr>
        <w:instrText xml:space="preserve"> HYPERLINK "http://scholar.google.com/scholar_case?case=12394314758738904678&amp;q=emerald+marijuana&amp;hl=en&amp;as_sdt=4,38" \l "r[30]" </w:instrText>
      </w:r>
      <w:r w:rsidRPr="00851945">
        <w:rPr>
          <w:rFonts w:ascii="Arial" w:eastAsia="Times New Roman" w:hAnsi="Arial" w:cs="Arial"/>
          <w:color w:val="222222"/>
          <w:sz w:val="18"/>
          <w:szCs w:val="18"/>
        </w:rPr>
        <w:fldChar w:fldCharType="separate"/>
      </w:r>
      <w:r w:rsidRPr="00851945">
        <w:rPr>
          <w:rFonts w:ascii="Arial" w:eastAsia="Times New Roman" w:hAnsi="Arial" w:cs="Arial"/>
          <w:color w:val="1A0DAB"/>
          <w:sz w:val="18"/>
          <w:szCs w:val="18"/>
          <w:u w:val="single"/>
        </w:rPr>
        <w:t>[7]</w:t>
      </w:r>
      <w:r w:rsidRPr="00851945">
        <w:rPr>
          <w:rFonts w:ascii="Arial" w:eastAsia="Times New Roman" w:hAnsi="Arial" w:cs="Arial"/>
          <w:color w:val="222222"/>
          <w:sz w:val="18"/>
          <w:szCs w:val="18"/>
        </w:rPr>
        <w:fldChar w:fldCharType="end"/>
      </w:r>
      <w:bookmarkEnd w:id="62"/>
      <w:r w:rsidRPr="00851945">
        <w:rPr>
          <w:rFonts w:ascii="Arial" w:eastAsia="Times New Roman" w:hAnsi="Arial" w:cs="Arial"/>
          <w:color w:val="222222"/>
          <w:sz w:val="18"/>
          <w:szCs w:val="18"/>
        </w:rPr>
        <w:t xml:space="preserve"> As I read the majority opinion, a state law providing that Oregon would not punish drivers between the ages of 16 and 21, as opposed to permitting those persons to drive, </w:t>
      </w:r>
      <w:r w:rsidRPr="00851945">
        <w:rPr>
          <w:rFonts w:ascii="Arial" w:eastAsia="Times New Roman" w:hAnsi="Arial" w:cs="Arial"/>
          <w:i/>
          <w:iCs/>
          <w:color w:val="222222"/>
          <w:sz w:val="18"/>
          <w:szCs w:val="18"/>
        </w:rPr>
        <w:t>would</w:t>
      </w:r>
      <w:r w:rsidRPr="00851945">
        <w:rPr>
          <w:rFonts w:ascii="Arial" w:eastAsia="Times New Roman" w:hAnsi="Arial" w:cs="Arial"/>
          <w:color w:val="222222"/>
          <w:sz w:val="18"/>
          <w:szCs w:val="18"/>
        </w:rPr>
        <w:t xml:space="preserve"> withstand a Supremacy Clause challenge.</w:t>
      </w:r>
    </w:p>
    <w:bookmarkStart w:id="63" w:name="[31]"/>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18"/>
          <w:szCs w:val="18"/>
        </w:rPr>
      </w:pPr>
      <w:r w:rsidRPr="00851945">
        <w:rPr>
          <w:rFonts w:ascii="Arial" w:eastAsia="Times New Roman" w:hAnsi="Arial" w:cs="Arial"/>
          <w:color w:val="222222"/>
          <w:sz w:val="18"/>
          <w:szCs w:val="18"/>
        </w:rPr>
        <w:fldChar w:fldCharType="begin"/>
      </w:r>
      <w:r w:rsidRPr="00851945">
        <w:rPr>
          <w:rFonts w:ascii="Arial" w:eastAsia="Times New Roman" w:hAnsi="Arial" w:cs="Arial"/>
          <w:color w:val="222222"/>
          <w:sz w:val="18"/>
          <w:szCs w:val="18"/>
        </w:rPr>
        <w:instrText xml:space="preserve"> HYPERLINK "http://scholar.google.com/scholar_case?case=12394314758738904678&amp;q=emerald+marijuana&amp;hl=en&amp;as_sdt=4,38" \l "r[31]" </w:instrText>
      </w:r>
      <w:r w:rsidRPr="00851945">
        <w:rPr>
          <w:rFonts w:ascii="Arial" w:eastAsia="Times New Roman" w:hAnsi="Arial" w:cs="Arial"/>
          <w:color w:val="222222"/>
          <w:sz w:val="18"/>
          <w:szCs w:val="18"/>
        </w:rPr>
        <w:fldChar w:fldCharType="separate"/>
      </w:r>
      <w:r w:rsidRPr="00851945">
        <w:rPr>
          <w:rFonts w:ascii="Arial" w:eastAsia="Times New Roman" w:hAnsi="Arial" w:cs="Arial"/>
          <w:color w:val="1A0DAB"/>
          <w:sz w:val="18"/>
          <w:szCs w:val="18"/>
          <w:u w:val="single"/>
        </w:rPr>
        <w:t>[8]</w:t>
      </w:r>
      <w:r w:rsidRPr="00851945">
        <w:rPr>
          <w:rFonts w:ascii="Arial" w:eastAsia="Times New Roman" w:hAnsi="Arial" w:cs="Arial"/>
          <w:color w:val="222222"/>
          <w:sz w:val="18"/>
          <w:szCs w:val="18"/>
        </w:rPr>
        <w:fldChar w:fldCharType="end"/>
      </w:r>
      <w:bookmarkEnd w:id="63"/>
      <w:r w:rsidRPr="00851945">
        <w:rPr>
          <w:rFonts w:ascii="Arial" w:eastAsia="Times New Roman" w:hAnsi="Arial" w:cs="Arial"/>
          <w:color w:val="222222"/>
          <w:sz w:val="18"/>
          <w:szCs w:val="18"/>
        </w:rPr>
        <w:t xml:space="preserve"> Memorandum from David W. Ogden, Deputy Attorney General for Selected United States Attorneys on Investigations and Prosecutions in States </w:t>
      </w:r>
      <w:r w:rsidRPr="00851945">
        <w:rPr>
          <w:rFonts w:ascii="Arial" w:eastAsia="Times New Roman" w:hAnsi="Arial" w:cs="Arial"/>
          <w:i/>
          <w:iCs/>
          <w:color w:val="222222"/>
          <w:sz w:val="18"/>
          <w:szCs w:val="18"/>
        </w:rPr>
        <w:t xml:space="preserve">Authorizing the Medical Use of </w:t>
      </w:r>
      <w:r w:rsidRPr="00851945">
        <w:rPr>
          <w:rFonts w:ascii="Arial" w:eastAsia="Times New Roman" w:hAnsi="Arial" w:cs="Arial"/>
          <w:b/>
          <w:bCs/>
          <w:i/>
          <w:iCs/>
          <w:color w:val="000000"/>
          <w:sz w:val="18"/>
          <w:szCs w:val="18"/>
          <w:shd w:val="clear" w:color="auto" w:fill="FFFFCC"/>
        </w:rPr>
        <w:t>Marijuana</w:t>
      </w:r>
      <w:r w:rsidRPr="00851945">
        <w:rPr>
          <w:rFonts w:ascii="Arial" w:eastAsia="Times New Roman" w:hAnsi="Arial" w:cs="Arial"/>
          <w:color w:val="222222"/>
          <w:sz w:val="18"/>
          <w:szCs w:val="18"/>
        </w:rPr>
        <w:t xml:space="preserve"> (Oct. 19, 2009) (available at http://blogs.usdoj. </w:t>
      </w:r>
      <w:proofErr w:type="spellStart"/>
      <w:r w:rsidRPr="00851945">
        <w:rPr>
          <w:rFonts w:ascii="Arial" w:eastAsia="Times New Roman" w:hAnsi="Arial" w:cs="Arial"/>
          <w:color w:val="222222"/>
          <w:sz w:val="18"/>
          <w:szCs w:val="18"/>
        </w:rPr>
        <w:t>gov</w:t>
      </w:r>
      <w:proofErr w:type="spellEnd"/>
      <w:r w:rsidRPr="00851945">
        <w:rPr>
          <w:rFonts w:ascii="Arial" w:eastAsia="Times New Roman" w:hAnsi="Arial" w:cs="Arial"/>
          <w:color w:val="222222"/>
          <w:sz w:val="18"/>
          <w:szCs w:val="18"/>
        </w:rPr>
        <w:t>/blog/archives/192) (accessed Apr. 6, 2010) (emphasis in original).</w:t>
      </w:r>
    </w:p>
    <w:bookmarkStart w:id="64" w:name="[32]"/>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18"/>
          <w:szCs w:val="18"/>
        </w:rPr>
      </w:pPr>
      <w:r w:rsidRPr="00851945">
        <w:rPr>
          <w:rFonts w:ascii="Arial" w:eastAsia="Times New Roman" w:hAnsi="Arial" w:cs="Arial"/>
          <w:color w:val="222222"/>
          <w:sz w:val="18"/>
          <w:szCs w:val="18"/>
        </w:rPr>
        <w:fldChar w:fldCharType="begin"/>
      </w:r>
      <w:r w:rsidRPr="00851945">
        <w:rPr>
          <w:rFonts w:ascii="Arial" w:eastAsia="Times New Roman" w:hAnsi="Arial" w:cs="Arial"/>
          <w:color w:val="222222"/>
          <w:sz w:val="18"/>
          <w:szCs w:val="18"/>
        </w:rPr>
        <w:instrText xml:space="preserve"> HYPERLINK "http://scholar.google.com/scholar_case?case=12394314758738904678&amp;q=emerald+marijuana&amp;hl=en&amp;as_sdt=4,38" \l "r[32]" </w:instrText>
      </w:r>
      <w:r w:rsidRPr="00851945">
        <w:rPr>
          <w:rFonts w:ascii="Arial" w:eastAsia="Times New Roman" w:hAnsi="Arial" w:cs="Arial"/>
          <w:color w:val="222222"/>
          <w:sz w:val="18"/>
          <w:szCs w:val="18"/>
        </w:rPr>
        <w:fldChar w:fldCharType="separate"/>
      </w:r>
      <w:r w:rsidRPr="00851945">
        <w:rPr>
          <w:rFonts w:ascii="Arial" w:eastAsia="Times New Roman" w:hAnsi="Arial" w:cs="Arial"/>
          <w:color w:val="1A0DAB"/>
          <w:sz w:val="18"/>
          <w:szCs w:val="18"/>
          <w:u w:val="single"/>
        </w:rPr>
        <w:t>[9]</w:t>
      </w:r>
      <w:r w:rsidRPr="00851945">
        <w:rPr>
          <w:rFonts w:ascii="Arial" w:eastAsia="Times New Roman" w:hAnsi="Arial" w:cs="Arial"/>
          <w:color w:val="222222"/>
          <w:sz w:val="18"/>
          <w:szCs w:val="18"/>
        </w:rPr>
        <w:fldChar w:fldCharType="end"/>
      </w:r>
      <w:bookmarkEnd w:id="64"/>
      <w:r w:rsidRPr="00851945">
        <w:rPr>
          <w:rFonts w:ascii="Arial" w:eastAsia="Times New Roman" w:hAnsi="Arial" w:cs="Arial"/>
          <w:color w:val="222222"/>
          <w:sz w:val="18"/>
          <w:szCs w:val="18"/>
        </w:rPr>
        <w:t xml:space="preserve"> New Mexico's "Lynn and Erin Compassionate Use Act," 2007 New Mexico Laws </w:t>
      </w:r>
      <w:proofErr w:type="spellStart"/>
      <w:r w:rsidRPr="00851945">
        <w:rPr>
          <w:rFonts w:ascii="Arial" w:eastAsia="Times New Roman" w:hAnsi="Arial" w:cs="Arial"/>
          <w:color w:val="222222"/>
          <w:sz w:val="18"/>
          <w:szCs w:val="18"/>
        </w:rPr>
        <w:t>ch.</w:t>
      </w:r>
      <w:proofErr w:type="spellEnd"/>
      <w:r w:rsidRPr="00851945">
        <w:rPr>
          <w:rFonts w:ascii="Arial" w:eastAsia="Times New Roman" w:hAnsi="Arial" w:cs="Arial"/>
          <w:color w:val="222222"/>
          <w:sz w:val="18"/>
          <w:szCs w:val="18"/>
        </w:rPr>
        <w:t xml:space="preserve"> 210, § 7 (SB 523), requires relevant state agencies to develop rules that "identify requirements for the licensure of producers and cannabis production facilities and set forth procedures to obtain licenses," as well as "develop a distribution system for medical cannabis" that comports with certain requirements. The New Jersey "Compassionate Use Medical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Act," S119, Approved PL 2009, c. 307, § 7, provides for the creation of "alternate treatment centers, each of which</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18"/>
          <w:szCs w:val="18"/>
        </w:rPr>
      </w:pPr>
      <w:r w:rsidRPr="00851945">
        <w:rPr>
          <w:rFonts w:ascii="Arial" w:eastAsia="Times New Roman" w:hAnsi="Arial" w:cs="Arial"/>
          <w:color w:val="222222"/>
          <w:sz w:val="18"/>
          <w:szCs w:val="18"/>
        </w:rPr>
        <w:t xml:space="preserve">"shall be authorized to acquire a reasonable initial and ongoing inventory, as determined by the department, of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seeds or seedlings and paraphernalia, possess, cultivate, plant, grow, harvest, process, display, manufacture, deliver, transfer, transport, distribute, supply, sell, or dispense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or related supplies to qualifying patients or their primary caregivers who are registered with the department pursuant to section 4 of * * * this act."</w:t>
      </w:r>
    </w:p>
    <w:p w:rsidR="00851945"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18"/>
          <w:szCs w:val="18"/>
        </w:rPr>
      </w:pPr>
      <w:r w:rsidRPr="00851945">
        <w:rPr>
          <w:rFonts w:ascii="Arial" w:eastAsia="Times New Roman" w:hAnsi="Arial" w:cs="Arial"/>
          <w:color w:val="222222"/>
          <w:sz w:val="18"/>
          <w:szCs w:val="18"/>
        </w:rPr>
        <w:t xml:space="preserve">The Maine Medical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Act provides for the creation of "nonprofit dispensaries" which are authorized to dispense up to two and one-half ounces of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to qualified patients. </w:t>
      </w:r>
      <w:proofErr w:type="gramStart"/>
      <w:r w:rsidRPr="00851945">
        <w:rPr>
          <w:rFonts w:ascii="Arial" w:eastAsia="Times New Roman" w:hAnsi="Arial" w:cs="Arial"/>
          <w:color w:val="222222"/>
          <w:sz w:val="18"/>
          <w:szCs w:val="18"/>
        </w:rPr>
        <w:t>Me. Rev. Stat. title 22, § 2428-7.</w:t>
      </w:r>
      <w:proofErr w:type="gramEnd"/>
      <w:r w:rsidRPr="00851945">
        <w:rPr>
          <w:rFonts w:ascii="Arial" w:eastAsia="Times New Roman" w:hAnsi="Arial" w:cs="Arial"/>
          <w:color w:val="222222"/>
          <w:sz w:val="18"/>
          <w:szCs w:val="18"/>
        </w:rPr>
        <w:t xml:space="preserve"> In Rhode Island, "The Edward O. Hawkins and Thomas C. Slater Medical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Act," provides for the creation of "compassion centers," which "may acquire, possess, cultivate, manufacture, deliver, transfer, transport, supply or dispense </w:t>
      </w:r>
      <w:r w:rsidRPr="00851945">
        <w:rPr>
          <w:rFonts w:ascii="Arial" w:eastAsia="Times New Roman" w:hAnsi="Arial" w:cs="Arial"/>
          <w:b/>
          <w:bCs/>
          <w:color w:val="000000"/>
          <w:sz w:val="18"/>
          <w:szCs w:val="18"/>
          <w:shd w:val="clear" w:color="auto" w:fill="FFFFCC"/>
        </w:rPr>
        <w:t>marijuana</w:t>
      </w:r>
      <w:r w:rsidRPr="00851945">
        <w:rPr>
          <w:rFonts w:ascii="Arial" w:eastAsia="Times New Roman" w:hAnsi="Arial" w:cs="Arial"/>
          <w:color w:val="222222"/>
          <w:sz w:val="18"/>
          <w:szCs w:val="18"/>
        </w:rPr>
        <w:t xml:space="preserve"> * * * to registered qualifying patients and their registered primary caregivers." </w:t>
      </w:r>
      <w:proofErr w:type="gramStart"/>
      <w:r w:rsidRPr="00851945">
        <w:rPr>
          <w:rFonts w:ascii="Arial" w:eastAsia="Times New Roman" w:hAnsi="Arial" w:cs="Arial"/>
          <w:color w:val="222222"/>
          <w:sz w:val="18"/>
          <w:szCs w:val="18"/>
        </w:rPr>
        <w:t>R.I. Gen. Laws § 21-28.6-12.</w:t>
      </w:r>
      <w:proofErr w:type="gramEnd"/>
    </w:p>
    <w:bookmarkStart w:id="65" w:name="[33]"/>
    <w:p w:rsidR="008065DE" w:rsidRPr="00851945" w:rsidRDefault="00851945" w:rsidP="00851945">
      <w:pPr>
        <w:shd w:val="clear" w:color="auto" w:fill="FFFFFF"/>
        <w:spacing w:before="100" w:beforeAutospacing="1" w:after="100" w:afterAutospacing="1" w:line="240" w:lineRule="auto"/>
        <w:rPr>
          <w:rFonts w:ascii="Arial" w:eastAsia="Times New Roman" w:hAnsi="Arial" w:cs="Arial"/>
          <w:color w:val="222222"/>
          <w:sz w:val="18"/>
          <w:szCs w:val="18"/>
        </w:rPr>
      </w:pPr>
      <w:r w:rsidRPr="00851945">
        <w:rPr>
          <w:rFonts w:ascii="Arial" w:eastAsia="Times New Roman" w:hAnsi="Arial" w:cs="Arial"/>
          <w:color w:val="222222"/>
          <w:sz w:val="18"/>
          <w:szCs w:val="18"/>
        </w:rPr>
        <w:fldChar w:fldCharType="begin"/>
      </w:r>
      <w:r w:rsidRPr="00851945">
        <w:rPr>
          <w:rFonts w:ascii="Arial" w:eastAsia="Times New Roman" w:hAnsi="Arial" w:cs="Arial"/>
          <w:color w:val="222222"/>
          <w:sz w:val="18"/>
          <w:szCs w:val="18"/>
        </w:rPr>
        <w:instrText xml:space="preserve"> HYPERLINK "http://scholar.google.com/scholar_case?case=12394314758738904678&amp;q=emerald+marijuana&amp;hl=en&amp;as_sdt=4,38" \l "r[33]" </w:instrText>
      </w:r>
      <w:r w:rsidRPr="00851945">
        <w:rPr>
          <w:rFonts w:ascii="Arial" w:eastAsia="Times New Roman" w:hAnsi="Arial" w:cs="Arial"/>
          <w:color w:val="222222"/>
          <w:sz w:val="18"/>
          <w:szCs w:val="18"/>
        </w:rPr>
        <w:fldChar w:fldCharType="separate"/>
      </w:r>
      <w:r w:rsidRPr="00851945">
        <w:rPr>
          <w:rFonts w:ascii="Arial" w:eastAsia="Times New Roman" w:hAnsi="Arial" w:cs="Arial"/>
          <w:color w:val="1A0DAB"/>
          <w:sz w:val="18"/>
          <w:szCs w:val="18"/>
          <w:u w:val="single"/>
        </w:rPr>
        <w:t>[10]</w:t>
      </w:r>
      <w:r w:rsidRPr="00851945">
        <w:rPr>
          <w:rFonts w:ascii="Arial" w:eastAsia="Times New Roman" w:hAnsi="Arial" w:cs="Arial"/>
          <w:color w:val="222222"/>
          <w:sz w:val="18"/>
          <w:szCs w:val="18"/>
        </w:rPr>
        <w:fldChar w:fldCharType="end"/>
      </w:r>
      <w:bookmarkEnd w:id="65"/>
      <w:r w:rsidRPr="00851945">
        <w:rPr>
          <w:rFonts w:ascii="Arial" w:eastAsia="Times New Roman" w:hAnsi="Arial" w:cs="Arial"/>
          <w:color w:val="222222"/>
          <w:sz w:val="18"/>
          <w:szCs w:val="18"/>
        </w:rPr>
        <w:t xml:space="preserve"> ORS 127.815(1</w:t>
      </w:r>
      <w:proofErr w:type="gramStart"/>
      <w:r w:rsidRPr="00851945">
        <w:rPr>
          <w:rFonts w:ascii="Arial" w:eastAsia="Times New Roman" w:hAnsi="Arial" w:cs="Arial"/>
          <w:color w:val="222222"/>
          <w:sz w:val="18"/>
          <w:szCs w:val="18"/>
        </w:rPr>
        <w:t>)(</w:t>
      </w:r>
      <w:proofErr w:type="gramEnd"/>
      <w:r w:rsidRPr="00851945">
        <w:rPr>
          <w:rFonts w:ascii="Arial" w:eastAsia="Times New Roman" w:hAnsi="Arial" w:cs="Arial"/>
          <w:color w:val="222222"/>
          <w:sz w:val="18"/>
          <w:szCs w:val="18"/>
        </w:rPr>
        <w:t>L)(A) authorizes physicians to dispense medications for the purpose of ending a patient's life in a humane and dignified manner when that patient has a terminal illness and has satisfied the written request requirements that the Act provides. ORS 127.805(1) authorizes a terminally ill patient to "make a written request for medication for the purpose of ending his or her life in a humane and dignified manner in accordance with [the Act]."</w:t>
      </w:r>
      <w:bookmarkStart w:id="66" w:name="_GoBack"/>
      <w:bookmarkEnd w:id="66"/>
    </w:p>
    <w:sectPr w:rsidR="008065DE" w:rsidRPr="00851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45"/>
    <w:rsid w:val="008065DE"/>
    <w:rsid w:val="00851945"/>
    <w:rsid w:val="00BE3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519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519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19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51945"/>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851945"/>
  </w:style>
  <w:style w:type="character" w:styleId="Hyperlink">
    <w:name w:val="Hyperlink"/>
    <w:basedOn w:val="DefaultParagraphFont"/>
    <w:uiPriority w:val="99"/>
    <w:semiHidden/>
    <w:unhideWhenUsed/>
    <w:rsid w:val="00851945"/>
    <w:rPr>
      <w:strike w:val="0"/>
      <w:dstrike w:val="0"/>
      <w:color w:val="1A0DAB"/>
      <w:u w:val="none"/>
      <w:effect w:val="none"/>
    </w:rPr>
  </w:style>
  <w:style w:type="character" w:styleId="FollowedHyperlink">
    <w:name w:val="FollowedHyperlink"/>
    <w:basedOn w:val="DefaultParagraphFont"/>
    <w:uiPriority w:val="99"/>
    <w:semiHidden/>
    <w:unhideWhenUsed/>
    <w:rsid w:val="00851945"/>
    <w:rPr>
      <w:strike w:val="0"/>
      <w:dstrike w:val="0"/>
      <w:color w:val="660099"/>
      <w:u w:val="none"/>
      <w:effect w:val="none"/>
    </w:rPr>
  </w:style>
  <w:style w:type="paragraph" w:customStyle="1" w:styleId="gsgray">
    <w:name w:val="gs_gray"/>
    <w:basedOn w:val="Normal"/>
    <w:rsid w:val="00851945"/>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gsred">
    <w:name w:val="gs_red"/>
    <w:basedOn w:val="Normal"/>
    <w:rsid w:val="00851945"/>
    <w:pPr>
      <w:spacing w:before="100" w:beforeAutospacing="1" w:after="100" w:afterAutospacing="1" w:line="240" w:lineRule="auto"/>
    </w:pPr>
    <w:rPr>
      <w:rFonts w:ascii="Times New Roman" w:eastAsia="Times New Roman" w:hAnsi="Times New Roman" w:cs="Times New Roman"/>
      <w:color w:val="DD4B39"/>
      <w:sz w:val="24"/>
      <w:szCs w:val="24"/>
    </w:rPr>
  </w:style>
  <w:style w:type="paragraph" w:customStyle="1" w:styleId="gsgrn">
    <w:name w:val="gs_grn"/>
    <w:basedOn w:val="Normal"/>
    <w:rsid w:val="00851945"/>
    <w:pPr>
      <w:spacing w:before="100" w:beforeAutospacing="1" w:after="100" w:afterAutospacing="1" w:line="240" w:lineRule="auto"/>
    </w:pPr>
    <w:rPr>
      <w:rFonts w:ascii="Times New Roman" w:eastAsia="Times New Roman" w:hAnsi="Times New Roman" w:cs="Times New Roman"/>
      <w:color w:val="006621"/>
      <w:sz w:val="24"/>
      <w:szCs w:val="24"/>
    </w:rPr>
  </w:style>
  <w:style w:type="paragraph" w:customStyle="1" w:styleId="gslil">
    <w:name w:val="gs_lil"/>
    <w:basedOn w:val="Normal"/>
    <w:rsid w:val="00851945"/>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gsmed">
    <w:name w:val="gs_med"/>
    <w:basedOn w:val="Normal"/>
    <w:rsid w:val="00851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hlt">
    <w:name w:val="gs_hlt"/>
    <w:basedOn w:val="Normal"/>
    <w:rsid w:val="0085194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gsa">
    <w:name w:val="gs_a"/>
    <w:basedOn w:val="Normal"/>
    <w:rsid w:val="00851945"/>
    <w:pPr>
      <w:spacing w:before="100" w:beforeAutospacing="1" w:after="100" w:afterAutospacing="1" w:line="240" w:lineRule="auto"/>
    </w:pPr>
    <w:rPr>
      <w:rFonts w:ascii="Times New Roman" w:eastAsia="Times New Roman" w:hAnsi="Times New Roman" w:cs="Times New Roman"/>
      <w:color w:val="006621"/>
      <w:sz w:val="24"/>
      <w:szCs w:val="24"/>
    </w:rPr>
  </w:style>
  <w:style w:type="paragraph" w:customStyle="1" w:styleId="gsfl">
    <w:name w:val="gs_fl"/>
    <w:basedOn w:val="Normal"/>
    <w:rsid w:val="00851945"/>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gsctc">
    <w:name w:val="gs_ctc"/>
    <w:basedOn w:val="Normal"/>
    <w:rsid w:val="00851945"/>
    <w:pPr>
      <w:spacing w:before="100" w:beforeAutospacing="1" w:after="100" w:afterAutospacing="1" w:line="240" w:lineRule="auto"/>
      <w:textAlignment w:val="center"/>
    </w:pPr>
    <w:rPr>
      <w:rFonts w:ascii="Times New Roman" w:eastAsia="Times New Roman" w:hAnsi="Times New Roman" w:cs="Times New Roman"/>
      <w:b/>
      <w:bCs/>
      <w:color w:val="1A0DAB"/>
      <w:sz w:val="17"/>
      <w:szCs w:val="17"/>
    </w:rPr>
  </w:style>
  <w:style w:type="paragraph" w:customStyle="1" w:styleId="gsctu">
    <w:name w:val="gs_ctu"/>
    <w:basedOn w:val="Normal"/>
    <w:rsid w:val="00851945"/>
    <w:pPr>
      <w:spacing w:before="100" w:beforeAutospacing="1" w:after="100" w:afterAutospacing="1" w:line="240" w:lineRule="auto"/>
      <w:textAlignment w:val="center"/>
    </w:pPr>
    <w:rPr>
      <w:rFonts w:ascii="Times New Roman" w:eastAsia="Times New Roman" w:hAnsi="Times New Roman" w:cs="Times New Roman"/>
      <w:b/>
      <w:bCs/>
      <w:sz w:val="17"/>
      <w:szCs w:val="17"/>
    </w:rPr>
  </w:style>
  <w:style w:type="paragraph" w:customStyle="1" w:styleId="gsctg">
    <w:name w:val="gs_ctg"/>
    <w:basedOn w:val="Normal"/>
    <w:rsid w:val="00851945"/>
    <w:pPr>
      <w:spacing w:before="100" w:beforeAutospacing="1" w:after="100" w:afterAutospacing="1" w:line="240" w:lineRule="auto"/>
    </w:pPr>
    <w:rPr>
      <w:rFonts w:ascii="Times New Roman" w:eastAsia="Times New Roman" w:hAnsi="Times New Roman" w:cs="Times New Roman"/>
      <w:b/>
      <w:bCs/>
      <w:color w:val="1A0DAB"/>
      <w:sz w:val="20"/>
      <w:szCs w:val="20"/>
    </w:rPr>
  </w:style>
  <w:style w:type="paragraph" w:customStyle="1" w:styleId="gsctg2">
    <w:name w:val="gs_ctg2"/>
    <w:basedOn w:val="Normal"/>
    <w:rsid w:val="00851945"/>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salrt">
    <w:name w:val="gs_alrt"/>
    <w:basedOn w:val="Normal"/>
    <w:rsid w:val="00851945"/>
    <w:pPr>
      <w:pBdr>
        <w:top w:val="single" w:sz="6" w:space="0" w:color="F0C36D"/>
        <w:left w:val="single" w:sz="6" w:space="12" w:color="F0C36D"/>
        <w:bottom w:val="single" w:sz="6" w:space="0" w:color="F0C36D"/>
        <w:right w:val="single" w:sz="6" w:space="12" w:color="F0C36D"/>
      </w:pBdr>
      <w:shd w:val="clear" w:color="auto" w:fill="F9EDB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sspc">
    <w:name w:val="gs_spc"/>
    <w:basedOn w:val="Normal"/>
    <w:rsid w:val="00851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br">
    <w:name w:val="gs_br"/>
    <w:basedOn w:val="Normal"/>
    <w:rsid w:val="00851945"/>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gsind">
    <w:name w:val="gs_ind"/>
    <w:basedOn w:val="Normal"/>
    <w:rsid w:val="00851945"/>
    <w:pPr>
      <w:spacing w:before="100" w:beforeAutospacing="1" w:after="100" w:afterAutospacing="1" w:line="240" w:lineRule="auto"/>
      <w:ind w:hanging="120"/>
    </w:pPr>
    <w:rPr>
      <w:rFonts w:ascii="Times New Roman" w:eastAsia="Times New Roman" w:hAnsi="Times New Roman" w:cs="Times New Roman"/>
      <w:sz w:val="24"/>
      <w:szCs w:val="24"/>
    </w:rPr>
  </w:style>
  <w:style w:type="paragraph" w:customStyle="1" w:styleId="gsico">
    <w:name w:val="gs_ico"/>
    <w:basedOn w:val="Normal"/>
    <w:rsid w:val="00851945"/>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gsicm">
    <w:name w:val="gs_icm"/>
    <w:basedOn w:val="Normal"/>
    <w:rsid w:val="00851945"/>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gsota">
    <w:name w:val="gs_ota"/>
    <w:basedOn w:val="Normal"/>
    <w:rsid w:val="0085194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oph">
    <w:name w:val="gs_oph"/>
    <w:basedOn w:val="Normal"/>
    <w:rsid w:val="0085194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mdse">
    <w:name w:val="gs_md_se"/>
    <w:basedOn w:val="Normal"/>
    <w:rsid w:val="00851945"/>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mdwn">
    <w:name w:val="gs_md_wn"/>
    <w:basedOn w:val="Normal"/>
    <w:rsid w:val="00851945"/>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lpagenum">
    <w:name w:val="gsl_pagenum"/>
    <w:basedOn w:val="Normal"/>
    <w:rsid w:val="0085194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nta">
    <w:name w:val="gs_nta"/>
    <w:basedOn w:val="Normal"/>
    <w:rsid w:val="00851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nph">
    <w:name w:val="gs_nph"/>
    <w:basedOn w:val="Normal"/>
    <w:rsid w:val="00851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wr">
    <w:name w:val="gs_wr"/>
    <w:basedOn w:val="Normal"/>
    <w:rsid w:val="00851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aro">
    <w:name w:val="gs_aro"/>
    <w:basedOn w:val="Normal"/>
    <w:rsid w:val="00851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aru">
    <w:name w:val="gs_aru"/>
    <w:basedOn w:val="Normal"/>
    <w:rsid w:val="00851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txt">
    <w:name w:val="gs_txt"/>
    <w:basedOn w:val="Normal"/>
    <w:rsid w:val="00851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lbl">
    <w:name w:val="gs_lbl"/>
    <w:basedOn w:val="Normal"/>
    <w:rsid w:val="00851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mdwp">
    <w:name w:val="gs_md_wp"/>
    <w:basedOn w:val="Normal"/>
    <w:rsid w:val="00851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mdli">
    <w:name w:val="gs_md_li"/>
    <w:basedOn w:val="Normal"/>
    <w:rsid w:val="00851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el">
    <w:name w:val="gs_sel"/>
    <w:basedOn w:val="Normal"/>
    <w:rsid w:val="00851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nta1">
    <w:name w:val="gs_nta1"/>
    <w:basedOn w:val="Normal"/>
    <w:rsid w:val="0085194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nph1">
    <w:name w:val="gs_nph1"/>
    <w:basedOn w:val="Normal"/>
    <w:rsid w:val="0085194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ota1">
    <w:name w:val="gs_ota1"/>
    <w:basedOn w:val="Normal"/>
    <w:rsid w:val="00851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oph1">
    <w:name w:val="gs_oph1"/>
    <w:basedOn w:val="Normal"/>
    <w:rsid w:val="00851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wr1">
    <w:name w:val="gs_wr1"/>
    <w:basedOn w:val="Normal"/>
    <w:rsid w:val="0085194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gslbl1">
    <w:name w:val="gs_lbl1"/>
    <w:basedOn w:val="Normal"/>
    <w:rsid w:val="00851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lbl2">
    <w:name w:val="gs_lbl2"/>
    <w:basedOn w:val="Normal"/>
    <w:rsid w:val="00851945"/>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gsaro1">
    <w:name w:val="gs_aro1"/>
    <w:basedOn w:val="Normal"/>
    <w:rsid w:val="00851945"/>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gsaru1">
    <w:name w:val="gs_aru1"/>
    <w:basedOn w:val="Normal"/>
    <w:rsid w:val="00851945"/>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gstxt1">
    <w:name w:val="gs_txt1"/>
    <w:basedOn w:val="Normal"/>
    <w:rsid w:val="00851945"/>
    <w:pPr>
      <w:pBdr>
        <w:top w:val="single" w:sz="6" w:space="5" w:color="FFFFFF"/>
        <w:left w:val="single" w:sz="6" w:space="7" w:color="FFFFFF"/>
        <w:bottom w:val="single" w:sz="6" w:space="5" w:color="FFFFFF"/>
        <w:right w:val="single" w:sz="6" w:space="7" w:color="FFFFFF"/>
      </w:pBdr>
      <w:shd w:val="clear" w:color="auto" w:fill="2A2A2A"/>
      <w:spacing w:before="100" w:beforeAutospacing="1" w:after="100" w:afterAutospacing="1" w:line="240" w:lineRule="auto"/>
    </w:pPr>
    <w:rPr>
      <w:rFonts w:ascii="Times New Roman" w:eastAsia="Times New Roman" w:hAnsi="Times New Roman" w:cs="Times New Roman"/>
      <w:b/>
      <w:bCs/>
      <w:color w:val="FFFFFF"/>
      <w:sz w:val="17"/>
      <w:szCs w:val="17"/>
    </w:rPr>
  </w:style>
  <w:style w:type="paragraph" w:customStyle="1" w:styleId="gslbl3">
    <w:name w:val="gs_lbl3"/>
    <w:basedOn w:val="Normal"/>
    <w:rsid w:val="00851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cm1">
    <w:name w:val="gs_icm1"/>
    <w:basedOn w:val="Normal"/>
    <w:rsid w:val="00851945"/>
    <w:pPr>
      <w:spacing w:after="0" w:line="240" w:lineRule="auto"/>
    </w:pPr>
    <w:rPr>
      <w:rFonts w:ascii="Times New Roman" w:eastAsia="Times New Roman" w:hAnsi="Times New Roman" w:cs="Times New Roman"/>
      <w:sz w:val="2"/>
      <w:szCs w:val="2"/>
    </w:rPr>
  </w:style>
  <w:style w:type="paragraph" w:customStyle="1" w:styleId="gsicm2">
    <w:name w:val="gs_icm2"/>
    <w:basedOn w:val="Normal"/>
    <w:rsid w:val="00851945"/>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gsicm3">
    <w:name w:val="gs_icm3"/>
    <w:basedOn w:val="Normal"/>
    <w:rsid w:val="00851945"/>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gsmdwp1">
    <w:name w:val="gs_md_wp1"/>
    <w:basedOn w:val="Normal"/>
    <w:rsid w:val="00851945"/>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lbl4">
    <w:name w:val="gs_lbl4"/>
    <w:basedOn w:val="Normal"/>
    <w:rsid w:val="00851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lbl5">
    <w:name w:val="gs_lbl5"/>
    <w:basedOn w:val="Normal"/>
    <w:rsid w:val="00851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mdli1">
    <w:name w:val="gs_md_li1"/>
    <w:basedOn w:val="Normal"/>
    <w:rsid w:val="0085194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51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el1">
    <w:name w:val="gs_sel1"/>
    <w:basedOn w:val="Normal"/>
    <w:rsid w:val="00851945"/>
    <w:pPr>
      <w:spacing w:before="100" w:beforeAutospacing="1" w:after="100" w:afterAutospacing="1" w:line="240" w:lineRule="auto"/>
      <w:ind w:right="240"/>
    </w:pPr>
    <w:rPr>
      <w:rFonts w:ascii="Times New Roman" w:eastAsia="Times New Roman" w:hAnsi="Times New Roman" w:cs="Times New Roman"/>
      <w:b/>
      <w:bCs/>
      <w:color w:val="D14836"/>
      <w:sz w:val="24"/>
      <w:szCs w:val="24"/>
    </w:rPr>
  </w:style>
  <w:style w:type="paragraph" w:customStyle="1" w:styleId="gslpagenum1">
    <w:name w:val="gsl_pagenum1"/>
    <w:basedOn w:val="Normal"/>
    <w:rsid w:val="00851945"/>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519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519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19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51945"/>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851945"/>
  </w:style>
  <w:style w:type="character" w:styleId="Hyperlink">
    <w:name w:val="Hyperlink"/>
    <w:basedOn w:val="DefaultParagraphFont"/>
    <w:uiPriority w:val="99"/>
    <w:semiHidden/>
    <w:unhideWhenUsed/>
    <w:rsid w:val="00851945"/>
    <w:rPr>
      <w:strike w:val="0"/>
      <w:dstrike w:val="0"/>
      <w:color w:val="1A0DAB"/>
      <w:u w:val="none"/>
      <w:effect w:val="none"/>
    </w:rPr>
  </w:style>
  <w:style w:type="character" w:styleId="FollowedHyperlink">
    <w:name w:val="FollowedHyperlink"/>
    <w:basedOn w:val="DefaultParagraphFont"/>
    <w:uiPriority w:val="99"/>
    <w:semiHidden/>
    <w:unhideWhenUsed/>
    <w:rsid w:val="00851945"/>
    <w:rPr>
      <w:strike w:val="0"/>
      <w:dstrike w:val="0"/>
      <w:color w:val="660099"/>
      <w:u w:val="none"/>
      <w:effect w:val="none"/>
    </w:rPr>
  </w:style>
  <w:style w:type="paragraph" w:customStyle="1" w:styleId="gsgray">
    <w:name w:val="gs_gray"/>
    <w:basedOn w:val="Normal"/>
    <w:rsid w:val="00851945"/>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gsred">
    <w:name w:val="gs_red"/>
    <w:basedOn w:val="Normal"/>
    <w:rsid w:val="00851945"/>
    <w:pPr>
      <w:spacing w:before="100" w:beforeAutospacing="1" w:after="100" w:afterAutospacing="1" w:line="240" w:lineRule="auto"/>
    </w:pPr>
    <w:rPr>
      <w:rFonts w:ascii="Times New Roman" w:eastAsia="Times New Roman" w:hAnsi="Times New Roman" w:cs="Times New Roman"/>
      <w:color w:val="DD4B39"/>
      <w:sz w:val="24"/>
      <w:szCs w:val="24"/>
    </w:rPr>
  </w:style>
  <w:style w:type="paragraph" w:customStyle="1" w:styleId="gsgrn">
    <w:name w:val="gs_grn"/>
    <w:basedOn w:val="Normal"/>
    <w:rsid w:val="00851945"/>
    <w:pPr>
      <w:spacing w:before="100" w:beforeAutospacing="1" w:after="100" w:afterAutospacing="1" w:line="240" w:lineRule="auto"/>
    </w:pPr>
    <w:rPr>
      <w:rFonts w:ascii="Times New Roman" w:eastAsia="Times New Roman" w:hAnsi="Times New Roman" w:cs="Times New Roman"/>
      <w:color w:val="006621"/>
      <w:sz w:val="24"/>
      <w:szCs w:val="24"/>
    </w:rPr>
  </w:style>
  <w:style w:type="paragraph" w:customStyle="1" w:styleId="gslil">
    <w:name w:val="gs_lil"/>
    <w:basedOn w:val="Normal"/>
    <w:rsid w:val="00851945"/>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gsmed">
    <w:name w:val="gs_med"/>
    <w:basedOn w:val="Normal"/>
    <w:rsid w:val="00851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hlt">
    <w:name w:val="gs_hlt"/>
    <w:basedOn w:val="Normal"/>
    <w:rsid w:val="0085194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gsa">
    <w:name w:val="gs_a"/>
    <w:basedOn w:val="Normal"/>
    <w:rsid w:val="00851945"/>
    <w:pPr>
      <w:spacing w:before="100" w:beforeAutospacing="1" w:after="100" w:afterAutospacing="1" w:line="240" w:lineRule="auto"/>
    </w:pPr>
    <w:rPr>
      <w:rFonts w:ascii="Times New Roman" w:eastAsia="Times New Roman" w:hAnsi="Times New Roman" w:cs="Times New Roman"/>
      <w:color w:val="006621"/>
      <w:sz w:val="24"/>
      <w:szCs w:val="24"/>
    </w:rPr>
  </w:style>
  <w:style w:type="paragraph" w:customStyle="1" w:styleId="gsfl">
    <w:name w:val="gs_fl"/>
    <w:basedOn w:val="Normal"/>
    <w:rsid w:val="00851945"/>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gsctc">
    <w:name w:val="gs_ctc"/>
    <w:basedOn w:val="Normal"/>
    <w:rsid w:val="00851945"/>
    <w:pPr>
      <w:spacing w:before="100" w:beforeAutospacing="1" w:after="100" w:afterAutospacing="1" w:line="240" w:lineRule="auto"/>
      <w:textAlignment w:val="center"/>
    </w:pPr>
    <w:rPr>
      <w:rFonts w:ascii="Times New Roman" w:eastAsia="Times New Roman" w:hAnsi="Times New Roman" w:cs="Times New Roman"/>
      <w:b/>
      <w:bCs/>
      <w:color w:val="1A0DAB"/>
      <w:sz w:val="17"/>
      <w:szCs w:val="17"/>
    </w:rPr>
  </w:style>
  <w:style w:type="paragraph" w:customStyle="1" w:styleId="gsctu">
    <w:name w:val="gs_ctu"/>
    <w:basedOn w:val="Normal"/>
    <w:rsid w:val="00851945"/>
    <w:pPr>
      <w:spacing w:before="100" w:beforeAutospacing="1" w:after="100" w:afterAutospacing="1" w:line="240" w:lineRule="auto"/>
      <w:textAlignment w:val="center"/>
    </w:pPr>
    <w:rPr>
      <w:rFonts w:ascii="Times New Roman" w:eastAsia="Times New Roman" w:hAnsi="Times New Roman" w:cs="Times New Roman"/>
      <w:b/>
      <w:bCs/>
      <w:sz w:val="17"/>
      <w:szCs w:val="17"/>
    </w:rPr>
  </w:style>
  <w:style w:type="paragraph" w:customStyle="1" w:styleId="gsctg">
    <w:name w:val="gs_ctg"/>
    <w:basedOn w:val="Normal"/>
    <w:rsid w:val="00851945"/>
    <w:pPr>
      <w:spacing w:before="100" w:beforeAutospacing="1" w:after="100" w:afterAutospacing="1" w:line="240" w:lineRule="auto"/>
    </w:pPr>
    <w:rPr>
      <w:rFonts w:ascii="Times New Roman" w:eastAsia="Times New Roman" w:hAnsi="Times New Roman" w:cs="Times New Roman"/>
      <w:b/>
      <w:bCs/>
      <w:color w:val="1A0DAB"/>
      <w:sz w:val="20"/>
      <w:szCs w:val="20"/>
    </w:rPr>
  </w:style>
  <w:style w:type="paragraph" w:customStyle="1" w:styleId="gsctg2">
    <w:name w:val="gs_ctg2"/>
    <w:basedOn w:val="Normal"/>
    <w:rsid w:val="00851945"/>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salrt">
    <w:name w:val="gs_alrt"/>
    <w:basedOn w:val="Normal"/>
    <w:rsid w:val="00851945"/>
    <w:pPr>
      <w:pBdr>
        <w:top w:val="single" w:sz="6" w:space="0" w:color="F0C36D"/>
        <w:left w:val="single" w:sz="6" w:space="12" w:color="F0C36D"/>
        <w:bottom w:val="single" w:sz="6" w:space="0" w:color="F0C36D"/>
        <w:right w:val="single" w:sz="6" w:space="12" w:color="F0C36D"/>
      </w:pBdr>
      <w:shd w:val="clear" w:color="auto" w:fill="F9EDBE"/>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sspc">
    <w:name w:val="gs_spc"/>
    <w:basedOn w:val="Normal"/>
    <w:rsid w:val="00851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br">
    <w:name w:val="gs_br"/>
    <w:basedOn w:val="Normal"/>
    <w:rsid w:val="00851945"/>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gsind">
    <w:name w:val="gs_ind"/>
    <w:basedOn w:val="Normal"/>
    <w:rsid w:val="00851945"/>
    <w:pPr>
      <w:spacing w:before="100" w:beforeAutospacing="1" w:after="100" w:afterAutospacing="1" w:line="240" w:lineRule="auto"/>
      <w:ind w:hanging="120"/>
    </w:pPr>
    <w:rPr>
      <w:rFonts w:ascii="Times New Roman" w:eastAsia="Times New Roman" w:hAnsi="Times New Roman" w:cs="Times New Roman"/>
      <w:sz w:val="24"/>
      <w:szCs w:val="24"/>
    </w:rPr>
  </w:style>
  <w:style w:type="paragraph" w:customStyle="1" w:styleId="gsico">
    <w:name w:val="gs_ico"/>
    <w:basedOn w:val="Normal"/>
    <w:rsid w:val="00851945"/>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gsicm">
    <w:name w:val="gs_icm"/>
    <w:basedOn w:val="Normal"/>
    <w:rsid w:val="00851945"/>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gsota">
    <w:name w:val="gs_ota"/>
    <w:basedOn w:val="Normal"/>
    <w:rsid w:val="0085194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oph">
    <w:name w:val="gs_oph"/>
    <w:basedOn w:val="Normal"/>
    <w:rsid w:val="0085194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mdse">
    <w:name w:val="gs_md_se"/>
    <w:basedOn w:val="Normal"/>
    <w:rsid w:val="00851945"/>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mdwn">
    <w:name w:val="gs_md_wn"/>
    <w:basedOn w:val="Normal"/>
    <w:rsid w:val="00851945"/>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lpagenum">
    <w:name w:val="gsl_pagenum"/>
    <w:basedOn w:val="Normal"/>
    <w:rsid w:val="0085194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nta">
    <w:name w:val="gs_nta"/>
    <w:basedOn w:val="Normal"/>
    <w:rsid w:val="00851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nph">
    <w:name w:val="gs_nph"/>
    <w:basedOn w:val="Normal"/>
    <w:rsid w:val="00851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wr">
    <w:name w:val="gs_wr"/>
    <w:basedOn w:val="Normal"/>
    <w:rsid w:val="00851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aro">
    <w:name w:val="gs_aro"/>
    <w:basedOn w:val="Normal"/>
    <w:rsid w:val="00851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aru">
    <w:name w:val="gs_aru"/>
    <w:basedOn w:val="Normal"/>
    <w:rsid w:val="00851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txt">
    <w:name w:val="gs_txt"/>
    <w:basedOn w:val="Normal"/>
    <w:rsid w:val="00851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lbl">
    <w:name w:val="gs_lbl"/>
    <w:basedOn w:val="Normal"/>
    <w:rsid w:val="00851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mdwp">
    <w:name w:val="gs_md_wp"/>
    <w:basedOn w:val="Normal"/>
    <w:rsid w:val="00851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mdli">
    <w:name w:val="gs_md_li"/>
    <w:basedOn w:val="Normal"/>
    <w:rsid w:val="00851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el">
    <w:name w:val="gs_sel"/>
    <w:basedOn w:val="Normal"/>
    <w:rsid w:val="00851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nta1">
    <w:name w:val="gs_nta1"/>
    <w:basedOn w:val="Normal"/>
    <w:rsid w:val="0085194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nph1">
    <w:name w:val="gs_nph1"/>
    <w:basedOn w:val="Normal"/>
    <w:rsid w:val="0085194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ota1">
    <w:name w:val="gs_ota1"/>
    <w:basedOn w:val="Normal"/>
    <w:rsid w:val="00851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oph1">
    <w:name w:val="gs_oph1"/>
    <w:basedOn w:val="Normal"/>
    <w:rsid w:val="00851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wr1">
    <w:name w:val="gs_wr1"/>
    <w:basedOn w:val="Normal"/>
    <w:rsid w:val="0085194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gslbl1">
    <w:name w:val="gs_lbl1"/>
    <w:basedOn w:val="Normal"/>
    <w:rsid w:val="00851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lbl2">
    <w:name w:val="gs_lbl2"/>
    <w:basedOn w:val="Normal"/>
    <w:rsid w:val="00851945"/>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gsaro1">
    <w:name w:val="gs_aro1"/>
    <w:basedOn w:val="Normal"/>
    <w:rsid w:val="00851945"/>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gsaru1">
    <w:name w:val="gs_aru1"/>
    <w:basedOn w:val="Normal"/>
    <w:rsid w:val="00851945"/>
    <w:pPr>
      <w:spacing w:before="100" w:beforeAutospacing="1" w:after="100" w:afterAutospacing="1" w:line="0" w:lineRule="auto"/>
    </w:pPr>
    <w:rPr>
      <w:rFonts w:ascii="Times New Roman" w:eastAsia="Times New Roman" w:hAnsi="Times New Roman" w:cs="Times New Roman"/>
      <w:sz w:val="2"/>
      <w:szCs w:val="2"/>
    </w:rPr>
  </w:style>
  <w:style w:type="paragraph" w:customStyle="1" w:styleId="gstxt1">
    <w:name w:val="gs_txt1"/>
    <w:basedOn w:val="Normal"/>
    <w:rsid w:val="00851945"/>
    <w:pPr>
      <w:pBdr>
        <w:top w:val="single" w:sz="6" w:space="5" w:color="FFFFFF"/>
        <w:left w:val="single" w:sz="6" w:space="7" w:color="FFFFFF"/>
        <w:bottom w:val="single" w:sz="6" w:space="5" w:color="FFFFFF"/>
        <w:right w:val="single" w:sz="6" w:space="7" w:color="FFFFFF"/>
      </w:pBdr>
      <w:shd w:val="clear" w:color="auto" w:fill="2A2A2A"/>
      <w:spacing w:before="100" w:beforeAutospacing="1" w:after="100" w:afterAutospacing="1" w:line="240" w:lineRule="auto"/>
    </w:pPr>
    <w:rPr>
      <w:rFonts w:ascii="Times New Roman" w:eastAsia="Times New Roman" w:hAnsi="Times New Roman" w:cs="Times New Roman"/>
      <w:b/>
      <w:bCs/>
      <w:color w:val="FFFFFF"/>
      <w:sz w:val="17"/>
      <w:szCs w:val="17"/>
    </w:rPr>
  </w:style>
  <w:style w:type="paragraph" w:customStyle="1" w:styleId="gslbl3">
    <w:name w:val="gs_lbl3"/>
    <w:basedOn w:val="Normal"/>
    <w:rsid w:val="00851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icm1">
    <w:name w:val="gs_icm1"/>
    <w:basedOn w:val="Normal"/>
    <w:rsid w:val="00851945"/>
    <w:pPr>
      <w:spacing w:after="0" w:line="240" w:lineRule="auto"/>
    </w:pPr>
    <w:rPr>
      <w:rFonts w:ascii="Times New Roman" w:eastAsia="Times New Roman" w:hAnsi="Times New Roman" w:cs="Times New Roman"/>
      <w:sz w:val="2"/>
      <w:szCs w:val="2"/>
    </w:rPr>
  </w:style>
  <w:style w:type="paragraph" w:customStyle="1" w:styleId="gsicm2">
    <w:name w:val="gs_icm2"/>
    <w:basedOn w:val="Normal"/>
    <w:rsid w:val="00851945"/>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gsicm3">
    <w:name w:val="gs_icm3"/>
    <w:basedOn w:val="Normal"/>
    <w:rsid w:val="00851945"/>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gsmdwp1">
    <w:name w:val="gs_md_wp1"/>
    <w:basedOn w:val="Normal"/>
    <w:rsid w:val="00851945"/>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lbl4">
    <w:name w:val="gs_lbl4"/>
    <w:basedOn w:val="Normal"/>
    <w:rsid w:val="00851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lbl5">
    <w:name w:val="gs_lbl5"/>
    <w:basedOn w:val="Normal"/>
    <w:rsid w:val="00851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mdli1">
    <w:name w:val="gs_md_li1"/>
    <w:basedOn w:val="Normal"/>
    <w:rsid w:val="0085194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519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el1">
    <w:name w:val="gs_sel1"/>
    <w:basedOn w:val="Normal"/>
    <w:rsid w:val="00851945"/>
    <w:pPr>
      <w:spacing w:before="100" w:beforeAutospacing="1" w:after="100" w:afterAutospacing="1" w:line="240" w:lineRule="auto"/>
      <w:ind w:right="240"/>
    </w:pPr>
    <w:rPr>
      <w:rFonts w:ascii="Times New Roman" w:eastAsia="Times New Roman" w:hAnsi="Times New Roman" w:cs="Times New Roman"/>
      <w:b/>
      <w:bCs/>
      <w:color w:val="D14836"/>
      <w:sz w:val="24"/>
      <w:szCs w:val="24"/>
    </w:rPr>
  </w:style>
  <w:style w:type="paragraph" w:customStyle="1" w:styleId="gslpagenum1">
    <w:name w:val="gsl_pagenum1"/>
    <w:basedOn w:val="Normal"/>
    <w:rsid w:val="00851945"/>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191492">
      <w:bodyDiv w:val="1"/>
      <w:marLeft w:val="0"/>
      <w:marRight w:val="0"/>
      <w:marTop w:val="0"/>
      <w:marBottom w:val="0"/>
      <w:divBdr>
        <w:top w:val="none" w:sz="0" w:space="0" w:color="auto"/>
        <w:left w:val="none" w:sz="0" w:space="0" w:color="auto"/>
        <w:bottom w:val="none" w:sz="0" w:space="0" w:color="auto"/>
        <w:right w:val="none" w:sz="0" w:space="0" w:color="auto"/>
      </w:divBdr>
      <w:divsChild>
        <w:div w:id="1186212192">
          <w:marLeft w:val="0"/>
          <w:marRight w:val="0"/>
          <w:marTop w:val="0"/>
          <w:marBottom w:val="0"/>
          <w:divBdr>
            <w:top w:val="none" w:sz="0" w:space="0" w:color="auto"/>
            <w:left w:val="none" w:sz="0" w:space="0" w:color="auto"/>
            <w:bottom w:val="none" w:sz="0" w:space="0" w:color="auto"/>
            <w:right w:val="none" w:sz="0" w:space="0" w:color="auto"/>
          </w:divBdr>
          <w:divsChild>
            <w:div w:id="1641307127">
              <w:marLeft w:val="0"/>
              <w:marRight w:val="0"/>
              <w:marTop w:val="0"/>
              <w:marBottom w:val="0"/>
              <w:divBdr>
                <w:top w:val="none" w:sz="0" w:space="0" w:color="auto"/>
                <w:left w:val="none" w:sz="0" w:space="0" w:color="auto"/>
                <w:bottom w:val="none" w:sz="0" w:space="0" w:color="auto"/>
                <w:right w:val="none" w:sz="0" w:space="0" w:color="auto"/>
              </w:divBdr>
              <w:divsChild>
                <w:div w:id="1909224816">
                  <w:marLeft w:val="0"/>
                  <w:marRight w:val="0"/>
                  <w:marTop w:val="0"/>
                  <w:marBottom w:val="0"/>
                  <w:divBdr>
                    <w:top w:val="single" w:sz="6" w:space="10" w:color="CACACA"/>
                    <w:left w:val="single" w:sz="6" w:space="31" w:color="CACACA"/>
                    <w:bottom w:val="single" w:sz="6" w:space="10" w:color="CACACA"/>
                    <w:right w:val="single" w:sz="6" w:space="31" w:color="CACACA"/>
                  </w:divBdr>
                  <w:divsChild>
                    <w:div w:id="182980902">
                      <w:marLeft w:val="0"/>
                      <w:marRight w:val="0"/>
                      <w:marTop w:val="0"/>
                      <w:marBottom w:val="0"/>
                      <w:divBdr>
                        <w:top w:val="none" w:sz="0" w:space="0" w:color="auto"/>
                        <w:left w:val="none" w:sz="0" w:space="0" w:color="auto"/>
                        <w:bottom w:val="none" w:sz="0" w:space="0" w:color="auto"/>
                        <w:right w:val="none" w:sz="0" w:space="0" w:color="auto"/>
                      </w:divBdr>
                      <w:divsChild>
                        <w:div w:id="1279680362">
                          <w:blockQuote w:val="1"/>
                          <w:marLeft w:val="0"/>
                          <w:marRight w:val="0"/>
                          <w:marTop w:val="240"/>
                          <w:marBottom w:val="240"/>
                          <w:divBdr>
                            <w:top w:val="none" w:sz="0" w:space="0" w:color="auto"/>
                            <w:left w:val="none" w:sz="0" w:space="0" w:color="auto"/>
                            <w:bottom w:val="none" w:sz="0" w:space="0" w:color="auto"/>
                            <w:right w:val="none" w:sz="0" w:space="0" w:color="auto"/>
                          </w:divBdr>
                        </w:div>
                        <w:div w:id="2126465409">
                          <w:blockQuote w:val="1"/>
                          <w:marLeft w:val="0"/>
                          <w:marRight w:val="0"/>
                          <w:marTop w:val="240"/>
                          <w:marBottom w:val="240"/>
                          <w:divBdr>
                            <w:top w:val="none" w:sz="0" w:space="0" w:color="auto"/>
                            <w:left w:val="none" w:sz="0" w:space="0" w:color="auto"/>
                            <w:bottom w:val="none" w:sz="0" w:space="0" w:color="auto"/>
                            <w:right w:val="none" w:sz="0" w:space="0" w:color="auto"/>
                          </w:divBdr>
                        </w:div>
                        <w:div w:id="1921135668">
                          <w:blockQuote w:val="1"/>
                          <w:marLeft w:val="0"/>
                          <w:marRight w:val="0"/>
                          <w:marTop w:val="240"/>
                          <w:marBottom w:val="240"/>
                          <w:divBdr>
                            <w:top w:val="none" w:sz="0" w:space="0" w:color="auto"/>
                            <w:left w:val="none" w:sz="0" w:space="0" w:color="auto"/>
                            <w:bottom w:val="none" w:sz="0" w:space="0" w:color="auto"/>
                            <w:right w:val="none" w:sz="0" w:space="0" w:color="auto"/>
                          </w:divBdr>
                        </w:div>
                        <w:div w:id="1233929503">
                          <w:blockQuote w:val="1"/>
                          <w:marLeft w:val="0"/>
                          <w:marRight w:val="0"/>
                          <w:marTop w:val="240"/>
                          <w:marBottom w:val="240"/>
                          <w:divBdr>
                            <w:top w:val="none" w:sz="0" w:space="0" w:color="auto"/>
                            <w:left w:val="none" w:sz="0" w:space="0" w:color="auto"/>
                            <w:bottom w:val="none" w:sz="0" w:space="0" w:color="auto"/>
                            <w:right w:val="none" w:sz="0" w:space="0" w:color="auto"/>
                          </w:divBdr>
                        </w:div>
                        <w:div w:id="1389453266">
                          <w:blockQuote w:val="1"/>
                          <w:marLeft w:val="0"/>
                          <w:marRight w:val="0"/>
                          <w:marTop w:val="240"/>
                          <w:marBottom w:val="240"/>
                          <w:divBdr>
                            <w:top w:val="none" w:sz="0" w:space="0" w:color="auto"/>
                            <w:left w:val="none" w:sz="0" w:space="0" w:color="auto"/>
                            <w:bottom w:val="none" w:sz="0" w:space="0" w:color="auto"/>
                            <w:right w:val="none" w:sz="0" w:space="0" w:color="auto"/>
                          </w:divBdr>
                        </w:div>
                        <w:div w:id="385764818">
                          <w:blockQuote w:val="1"/>
                          <w:marLeft w:val="0"/>
                          <w:marRight w:val="0"/>
                          <w:marTop w:val="240"/>
                          <w:marBottom w:val="240"/>
                          <w:divBdr>
                            <w:top w:val="none" w:sz="0" w:space="0" w:color="auto"/>
                            <w:left w:val="none" w:sz="0" w:space="0" w:color="auto"/>
                            <w:bottom w:val="none" w:sz="0" w:space="0" w:color="auto"/>
                            <w:right w:val="none" w:sz="0" w:space="0" w:color="auto"/>
                          </w:divBdr>
                        </w:div>
                        <w:div w:id="354843634">
                          <w:blockQuote w:val="1"/>
                          <w:marLeft w:val="0"/>
                          <w:marRight w:val="0"/>
                          <w:marTop w:val="240"/>
                          <w:marBottom w:val="240"/>
                          <w:divBdr>
                            <w:top w:val="none" w:sz="0" w:space="0" w:color="auto"/>
                            <w:left w:val="none" w:sz="0" w:space="0" w:color="auto"/>
                            <w:bottom w:val="none" w:sz="0" w:space="0" w:color="auto"/>
                            <w:right w:val="none" w:sz="0" w:space="0" w:color="auto"/>
                          </w:divBdr>
                        </w:div>
                        <w:div w:id="304744608">
                          <w:blockQuote w:val="1"/>
                          <w:marLeft w:val="0"/>
                          <w:marRight w:val="0"/>
                          <w:marTop w:val="240"/>
                          <w:marBottom w:val="240"/>
                          <w:divBdr>
                            <w:top w:val="none" w:sz="0" w:space="0" w:color="auto"/>
                            <w:left w:val="none" w:sz="0" w:space="0" w:color="auto"/>
                            <w:bottom w:val="none" w:sz="0" w:space="0" w:color="auto"/>
                            <w:right w:val="none" w:sz="0" w:space="0" w:color="auto"/>
                          </w:divBdr>
                        </w:div>
                        <w:div w:id="1504278722">
                          <w:blockQuote w:val="1"/>
                          <w:marLeft w:val="0"/>
                          <w:marRight w:val="0"/>
                          <w:marTop w:val="240"/>
                          <w:marBottom w:val="240"/>
                          <w:divBdr>
                            <w:top w:val="none" w:sz="0" w:space="0" w:color="auto"/>
                            <w:left w:val="none" w:sz="0" w:space="0" w:color="auto"/>
                            <w:bottom w:val="none" w:sz="0" w:space="0" w:color="auto"/>
                            <w:right w:val="none" w:sz="0" w:space="0" w:color="auto"/>
                          </w:divBdr>
                        </w:div>
                        <w:div w:id="1223522817">
                          <w:blockQuote w:val="1"/>
                          <w:marLeft w:val="0"/>
                          <w:marRight w:val="0"/>
                          <w:marTop w:val="240"/>
                          <w:marBottom w:val="240"/>
                          <w:divBdr>
                            <w:top w:val="none" w:sz="0" w:space="0" w:color="auto"/>
                            <w:left w:val="none" w:sz="0" w:space="0" w:color="auto"/>
                            <w:bottom w:val="none" w:sz="0" w:space="0" w:color="auto"/>
                            <w:right w:val="none" w:sz="0" w:space="0" w:color="auto"/>
                          </w:divBdr>
                        </w:div>
                        <w:div w:id="701441718">
                          <w:blockQuote w:val="1"/>
                          <w:marLeft w:val="0"/>
                          <w:marRight w:val="0"/>
                          <w:marTop w:val="240"/>
                          <w:marBottom w:val="240"/>
                          <w:divBdr>
                            <w:top w:val="none" w:sz="0" w:space="0" w:color="auto"/>
                            <w:left w:val="none" w:sz="0" w:space="0" w:color="auto"/>
                            <w:bottom w:val="none" w:sz="0" w:space="0" w:color="auto"/>
                            <w:right w:val="none" w:sz="0" w:space="0" w:color="auto"/>
                          </w:divBdr>
                        </w:div>
                        <w:div w:id="535122609">
                          <w:blockQuote w:val="1"/>
                          <w:marLeft w:val="0"/>
                          <w:marRight w:val="0"/>
                          <w:marTop w:val="240"/>
                          <w:marBottom w:val="240"/>
                          <w:divBdr>
                            <w:top w:val="none" w:sz="0" w:space="0" w:color="auto"/>
                            <w:left w:val="none" w:sz="0" w:space="0" w:color="auto"/>
                            <w:bottom w:val="none" w:sz="0" w:space="0" w:color="auto"/>
                            <w:right w:val="none" w:sz="0" w:space="0" w:color="auto"/>
                          </w:divBdr>
                        </w:div>
                        <w:div w:id="1662460962">
                          <w:blockQuote w:val="1"/>
                          <w:marLeft w:val="0"/>
                          <w:marRight w:val="0"/>
                          <w:marTop w:val="240"/>
                          <w:marBottom w:val="240"/>
                          <w:divBdr>
                            <w:top w:val="none" w:sz="0" w:space="0" w:color="auto"/>
                            <w:left w:val="none" w:sz="0" w:space="0" w:color="auto"/>
                            <w:bottom w:val="none" w:sz="0" w:space="0" w:color="auto"/>
                            <w:right w:val="none" w:sz="0" w:space="0" w:color="auto"/>
                          </w:divBdr>
                        </w:div>
                        <w:div w:id="902254537">
                          <w:blockQuote w:val="1"/>
                          <w:marLeft w:val="0"/>
                          <w:marRight w:val="0"/>
                          <w:marTop w:val="240"/>
                          <w:marBottom w:val="240"/>
                          <w:divBdr>
                            <w:top w:val="none" w:sz="0" w:space="0" w:color="auto"/>
                            <w:left w:val="none" w:sz="0" w:space="0" w:color="auto"/>
                            <w:bottom w:val="none" w:sz="0" w:space="0" w:color="auto"/>
                            <w:right w:val="none" w:sz="0" w:space="0" w:color="auto"/>
                          </w:divBdr>
                        </w:div>
                        <w:div w:id="2102795373">
                          <w:blockQuote w:val="1"/>
                          <w:marLeft w:val="0"/>
                          <w:marRight w:val="0"/>
                          <w:marTop w:val="240"/>
                          <w:marBottom w:val="240"/>
                          <w:divBdr>
                            <w:top w:val="none" w:sz="0" w:space="0" w:color="auto"/>
                            <w:left w:val="none" w:sz="0" w:space="0" w:color="auto"/>
                            <w:bottom w:val="none" w:sz="0" w:space="0" w:color="auto"/>
                            <w:right w:val="none" w:sz="0" w:space="0" w:color="auto"/>
                          </w:divBdr>
                        </w:div>
                        <w:div w:id="192890004">
                          <w:blockQuote w:val="1"/>
                          <w:marLeft w:val="0"/>
                          <w:marRight w:val="0"/>
                          <w:marTop w:val="240"/>
                          <w:marBottom w:val="240"/>
                          <w:divBdr>
                            <w:top w:val="none" w:sz="0" w:space="0" w:color="auto"/>
                            <w:left w:val="none" w:sz="0" w:space="0" w:color="auto"/>
                            <w:bottom w:val="none" w:sz="0" w:space="0" w:color="auto"/>
                            <w:right w:val="none" w:sz="0" w:space="0" w:color="auto"/>
                          </w:divBdr>
                        </w:div>
                        <w:div w:id="203673482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holar.google.com/scholar_case?case=12394314758738904678&amp;q=emerald+marijuana&amp;hl=en&amp;as_sdt=4,38" TargetMode="External"/><Relationship Id="rId117" Type="http://schemas.openxmlformats.org/officeDocument/2006/relationships/hyperlink" Target="http://scholar.google.com/scholar_case?case=12394314758738904678&amp;q=emerald+marijuana&amp;hl=en&amp;as_sdt=4,38" TargetMode="External"/><Relationship Id="rId21" Type="http://schemas.openxmlformats.org/officeDocument/2006/relationships/hyperlink" Target="http://scholar.google.com/scholar_case?case=16848637413593017081&amp;q=emerald+marijuana&amp;hl=en&amp;as_sdt=4,38" TargetMode="External"/><Relationship Id="rId42" Type="http://schemas.openxmlformats.org/officeDocument/2006/relationships/hyperlink" Target="http://scholar.google.com/scholar_case?case=15647611274064109718&amp;q=emerald+marijuana&amp;hl=en&amp;as_sdt=4,38" TargetMode="External"/><Relationship Id="rId47" Type="http://schemas.openxmlformats.org/officeDocument/2006/relationships/hyperlink" Target="http://scholar.google.com/scholar_case?case=13613585210679693906&amp;q=emerald+marijuana&amp;hl=en&amp;as_sdt=4,38" TargetMode="External"/><Relationship Id="rId63" Type="http://schemas.openxmlformats.org/officeDocument/2006/relationships/hyperlink" Target="http://scholar.google.com/scholar_case?case=3688851671868228331&amp;q=emerald+marijuana&amp;hl=en&amp;as_sdt=4,38" TargetMode="External"/><Relationship Id="rId68" Type="http://schemas.openxmlformats.org/officeDocument/2006/relationships/hyperlink" Target="http://scholar.google.com/scholar_case?case=12394314758738904678&amp;q=emerald+marijuana&amp;hl=en&amp;as_sdt=4,38" TargetMode="External"/><Relationship Id="rId84" Type="http://schemas.openxmlformats.org/officeDocument/2006/relationships/hyperlink" Target="http://scholar.google.com/scholar_case?case=12394314758738904678&amp;q=emerald+marijuana&amp;hl=en&amp;as_sdt=4,38" TargetMode="External"/><Relationship Id="rId89" Type="http://schemas.openxmlformats.org/officeDocument/2006/relationships/hyperlink" Target="http://scholar.google.com/scholar_case?case=1302744931558821555&amp;q=emerald+marijuana&amp;hl=en&amp;as_sdt=4,38" TargetMode="External"/><Relationship Id="rId112" Type="http://schemas.openxmlformats.org/officeDocument/2006/relationships/hyperlink" Target="http://scholar.google.com/scholar_case?case=5876695266866623695&amp;q=emerald+marijuana&amp;hl=en&amp;as_sdt=4,38" TargetMode="External"/><Relationship Id="rId133" Type="http://schemas.openxmlformats.org/officeDocument/2006/relationships/hyperlink" Target="http://scholar.google.com/scholar_case?case=17055043890936848595&amp;q=emerald+marijuana&amp;hl=en&amp;as_sdt=4,38" TargetMode="External"/><Relationship Id="rId138" Type="http://schemas.openxmlformats.org/officeDocument/2006/relationships/hyperlink" Target="http://scholar.google.com/scholar_case?case=602735148209095660&amp;q=emerald+marijuana&amp;hl=en&amp;as_sdt=4,38" TargetMode="External"/><Relationship Id="rId154" Type="http://schemas.openxmlformats.org/officeDocument/2006/relationships/theme" Target="theme/theme1.xml"/><Relationship Id="rId16" Type="http://schemas.openxmlformats.org/officeDocument/2006/relationships/hyperlink" Target="http://scholar.google.com/scholar_case?case=12394314758738904678&amp;q=emerald+marijuana&amp;hl=en&amp;as_sdt=4,38" TargetMode="External"/><Relationship Id="rId107" Type="http://schemas.openxmlformats.org/officeDocument/2006/relationships/hyperlink" Target="http://scholar.google.com/scholar_case?case=12394314758738904678&amp;q=emerald+marijuana&amp;hl=en&amp;as_sdt=4,38" TargetMode="External"/><Relationship Id="rId11" Type="http://schemas.openxmlformats.org/officeDocument/2006/relationships/hyperlink" Target="http://scholar.google.com/scholar_case?case=3688851671868228331&amp;q=emerald+marijuana&amp;hl=en&amp;as_sdt=4,38" TargetMode="External"/><Relationship Id="rId32" Type="http://schemas.openxmlformats.org/officeDocument/2006/relationships/hyperlink" Target="http://scholar.google.com/scholar_case?case=13952612064017874982&amp;q=emerald+marijuana&amp;hl=en&amp;as_sdt=4,38" TargetMode="External"/><Relationship Id="rId37" Type="http://schemas.openxmlformats.org/officeDocument/2006/relationships/hyperlink" Target="http://scholar.google.com/scholar_case?case=12394314758738904678&amp;q=emerald+marijuana&amp;hl=en&amp;as_sdt=4,38" TargetMode="External"/><Relationship Id="rId53" Type="http://schemas.openxmlformats.org/officeDocument/2006/relationships/hyperlink" Target="http://scholar.google.com/scholar_case?case=5876695266866623695&amp;q=emerald+marijuana&amp;hl=en&amp;as_sdt=4,38" TargetMode="External"/><Relationship Id="rId58" Type="http://schemas.openxmlformats.org/officeDocument/2006/relationships/hyperlink" Target="http://scholar.google.com/scholar_case?case=12394314758738904678&amp;q=emerald+marijuana&amp;hl=en&amp;as_sdt=4,38" TargetMode="External"/><Relationship Id="rId74" Type="http://schemas.openxmlformats.org/officeDocument/2006/relationships/hyperlink" Target="http://scholar.google.com/scholar_case?case=15661608482215594777&amp;q=emerald+marijuana&amp;hl=en&amp;as_sdt=4,38" TargetMode="External"/><Relationship Id="rId79" Type="http://schemas.openxmlformats.org/officeDocument/2006/relationships/hyperlink" Target="http://scholar.google.com/scholar_case?case=12394314758738904678&amp;q=emerald+marijuana&amp;hl=en&amp;as_sdt=4,38" TargetMode="External"/><Relationship Id="rId102" Type="http://schemas.openxmlformats.org/officeDocument/2006/relationships/hyperlink" Target="http://scholar.google.com/scholar_case?case=12394314758738904678&amp;q=emerald+marijuana&amp;hl=en&amp;as_sdt=4,38" TargetMode="External"/><Relationship Id="rId123" Type="http://schemas.openxmlformats.org/officeDocument/2006/relationships/hyperlink" Target="http://scholar.google.com/scholar_case?case=12394314758738904678&amp;q=emerald+marijuana&amp;hl=en&amp;as_sdt=4,38" TargetMode="External"/><Relationship Id="rId128" Type="http://schemas.openxmlformats.org/officeDocument/2006/relationships/hyperlink" Target="http://scholar.google.com/scholar_case?case=12394314758738904678&amp;q=emerald+marijuana&amp;hl=en&amp;as_sdt=4,38" TargetMode="External"/><Relationship Id="rId144" Type="http://schemas.openxmlformats.org/officeDocument/2006/relationships/hyperlink" Target="http://scholar.google.com/scholar_case?case=426636661616801210&amp;q=emerald+marijuana&amp;hl=en&amp;as_sdt=4,38" TargetMode="External"/><Relationship Id="rId149" Type="http://schemas.openxmlformats.org/officeDocument/2006/relationships/hyperlink" Target="http://scholar.google.com/scholar_case?case=9071092382039138996&amp;q=emerald+marijuana&amp;hl=en&amp;as_sdt=4,38" TargetMode="External"/><Relationship Id="rId5" Type="http://schemas.openxmlformats.org/officeDocument/2006/relationships/hyperlink" Target="http://scholar.google.com/scholar?scidkt=2741151519177689942+13165117171573557637+9345233264824595734&amp;as_sdt=2&amp;hl=en" TargetMode="External"/><Relationship Id="rId90" Type="http://schemas.openxmlformats.org/officeDocument/2006/relationships/hyperlink" Target="http://scholar.google.com/scholar_case?case=12394314758738904678&amp;q=emerald+marijuana&amp;hl=en&amp;as_sdt=4,38" TargetMode="External"/><Relationship Id="rId95" Type="http://schemas.openxmlformats.org/officeDocument/2006/relationships/hyperlink" Target="http://scholar.google.com/scholar_case?case=12394314758738904678&amp;q=emerald+marijuana&amp;hl=en&amp;as_sdt=4,38" TargetMode="External"/><Relationship Id="rId22" Type="http://schemas.openxmlformats.org/officeDocument/2006/relationships/hyperlink" Target="http://scholar.google.com/scholar_case?case=12394314758738904678&amp;q=emerald+marijuana&amp;hl=en&amp;as_sdt=4,38" TargetMode="External"/><Relationship Id="rId27" Type="http://schemas.openxmlformats.org/officeDocument/2006/relationships/hyperlink" Target="http://scholar.google.com/scholar_case?case=12394314758738904678&amp;q=emerald+marijuana&amp;hl=en&amp;as_sdt=4,38" TargetMode="External"/><Relationship Id="rId43" Type="http://schemas.openxmlformats.org/officeDocument/2006/relationships/hyperlink" Target="http://scholar.google.com/scholar_case?case=3688851671868228331&amp;q=emerald+marijuana&amp;hl=en&amp;as_sdt=4,38" TargetMode="External"/><Relationship Id="rId48" Type="http://schemas.openxmlformats.org/officeDocument/2006/relationships/hyperlink" Target="http://scholar.google.com/scholar_case?case=12394314758738904678&amp;q=emerald+marijuana&amp;hl=en&amp;as_sdt=4,38" TargetMode="External"/><Relationship Id="rId64" Type="http://schemas.openxmlformats.org/officeDocument/2006/relationships/hyperlink" Target="http://scholar.google.com/scholar_case?case=3783141270511613567&amp;q=emerald+marijuana&amp;hl=en&amp;as_sdt=4,38" TargetMode="External"/><Relationship Id="rId69" Type="http://schemas.openxmlformats.org/officeDocument/2006/relationships/hyperlink" Target="http://scholar.google.com/scholar_case?case=10894716839911389166&amp;q=emerald+marijuana&amp;hl=en&amp;as_sdt=4,38" TargetMode="External"/><Relationship Id="rId113" Type="http://schemas.openxmlformats.org/officeDocument/2006/relationships/hyperlink" Target="http://scholar.google.com/scholar_case?case=3783141270511613567&amp;q=emerald+marijuana&amp;hl=en&amp;as_sdt=4,38" TargetMode="External"/><Relationship Id="rId118" Type="http://schemas.openxmlformats.org/officeDocument/2006/relationships/hyperlink" Target="http://scholar.google.com/scholar_case?case=3783141270511613567&amp;q=emerald+marijuana&amp;hl=en&amp;as_sdt=4,38" TargetMode="External"/><Relationship Id="rId134" Type="http://schemas.openxmlformats.org/officeDocument/2006/relationships/hyperlink" Target="http://scholar.google.com/scholar_case?case=12394314758738904678&amp;q=emerald+marijuana&amp;hl=en&amp;as_sdt=4,38" TargetMode="External"/><Relationship Id="rId139" Type="http://schemas.openxmlformats.org/officeDocument/2006/relationships/hyperlink" Target="http://scholar.google.com/scholar_case?case=12202333007529024893&amp;q=emerald+marijuana&amp;hl=en&amp;as_sdt=4,38" TargetMode="External"/><Relationship Id="rId80" Type="http://schemas.openxmlformats.org/officeDocument/2006/relationships/hyperlink" Target="http://scholar.google.com/scholar_case?case=13613585210679693906&amp;q=emerald+marijuana&amp;hl=en&amp;as_sdt=4,38" TargetMode="External"/><Relationship Id="rId85" Type="http://schemas.openxmlformats.org/officeDocument/2006/relationships/hyperlink" Target="http://scholar.google.com/scholar_case?case=3306838635547062085&amp;q=emerald+marijuana&amp;hl=en&amp;as_sdt=4,38" TargetMode="External"/><Relationship Id="rId150" Type="http://schemas.openxmlformats.org/officeDocument/2006/relationships/hyperlink" Target="http://scholar.google.com/scholar_case?case=4174729399921228676&amp;q=emerald+marijuana&amp;hl=en&amp;as_sdt=4,38" TargetMode="External"/><Relationship Id="rId12" Type="http://schemas.openxmlformats.org/officeDocument/2006/relationships/hyperlink" Target="http://scholar.google.com/scholar_case?case=16848637413593017081&amp;q=emerald+marijuana&amp;hl=en&amp;as_sdt=4,38" TargetMode="External"/><Relationship Id="rId17" Type="http://schemas.openxmlformats.org/officeDocument/2006/relationships/hyperlink" Target="http://scholar.google.com/scholar_case?case=14096218848017347712&amp;q=emerald+marijuana&amp;hl=en&amp;as_sdt=4,38" TargetMode="External"/><Relationship Id="rId25" Type="http://schemas.openxmlformats.org/officeDocument/2006/relationships/hyperlink" Target="http://scholar.google.com/scholar_case?case=12394314758738904678&amp;q=emerald+marijuana&amp;hl=en&amp;as_sdt=4,38" TargetMode="External"/><Relationship Id="rId33" Type="http://schemas.openxmlformats.org/officeDocument/2006/relationships/hyperlink" Target="http://scholar.google.com/scholar_case?case=3957024248604849506&amp;q=emerald+marijuana&amp;hl=en&amp;as_sdt=4,38" TargetMode="External"/><Relationship Id="rId38" Type="http://schemas.openxmlformats.org/officeDocument/2006/relationships/hyperlink" Target="http://scholar.google.com/scholar_case?case=12394314758738904678&amp;q=emerald+marijuana&amp;hl=en&amp;as_sdt=4,38" TargetMode="External"/><Relationship Id="rId46" Type="http://schemas.openxmlformats.org/officeDocument/2006/relationships/hyperlink" Target="http://scholar.google.com/scholar_case?case=15647611274064109718&amp;q=emerald+marijuana&amp;hl=en&amp;as_sdt=4,38" TargetMode="External"/><Relationship Id="rId59" Type="http://schemas.openxmlformats.org/officeDocument/2006/relationships/hyperlink" Target="http://scholar.google.com/scholar_case?case=12394314758738904678&amp;q=emerald+marijuana&amp;hl=en&amp;as_sdt=4,38" TargetMode="External"/><Relationship Id="rId67" Type="http://schemas.openxmlformats.org/officeDocument/2006/relationships/hyperlink" Target="http://scholar.google.com/scholar_case?case=12394314758738904678&amp;q=emerald+marijuana&amp;hl=en&amp;as_sdt=4,38" TargetMode="External"/><Relationship Id="rId103" Type="http://schemas.openxmlformats.org/officeDocument/2006/relationships/hyperlink" Target="http://scholar.google.com/scholar_case?case=13613585210679693906&amp;q=emerald+marijuana&amp;hl=en&amp;as_sdt=4,38" TargetMode="External"/><Relationship Id="rId108" Type="http://schemas.openxmlformats.org/officeDocument/2006/relationships/hyperlink" Target="http://scholar.google.com/scholar_case?case=12394314758738904678&amp;q=emerald+marijuana&amp;hl=en&amp;as_sdt=4,38" TargetMode="External"/><Relationship Id="rId116" Type="http://schemas.openxmlformats.org/officeDocument/2006/relationships/hyperlink" Target="http://scholar.google.com/scholar_case?case=12394314758738904678&amp;q=emerald+marijuana&amp;hl=en&amp;as_sdt=4,38" TargetMode="External"/><Relationship Id="rId124" Type="http://schemas.openxmlformats.org/officeDocument/2006/relationships/hyperlink" Target="http://scholar.google.com/scholar_case?case=3306838635547062085&amp;q=emerald+marijuana&amp;hl=en&amp;as_sdt=4,38" TargetMode="External"/><Relationship Id="rId129" Type="http://schemas.openxmlformats.org/officeDocument/2006/relationships/hyperlink" Target="http://scholar.google.com/scholar_case?case=14454584999299199739&amp;q=emerald+marijuana&amp;hl=en&amp;as_sdt=4,38" TargetMode="External"/><Relationship Id="rId137" Type="http://schemas.openxmlformats.org/officeDocument/2006/relationships/hyperlink" Target="http://scholar.google.com/scholar_case?case=12202333007529024893&amp;q=emerald+marijuana&amp;hl=en&amp;as_sdt=4,38" TargetMode="External"/><Relationship Id="rId20" Type="http://schemas.openxmlformats.org/officeDocument/2006/relationships/hyperlink" Target="http://scholar.google.com/scholar_case?case=15647611274064109718&amp;q=emerald+marijuana&amp;hl=en&amp;as_sdt=4,38" TargetMode="External"/><Relationship Id="rId41" Type="http://schemas.openxmlformats.org/officeDocument/2006/relationships/hyperlink" Target="http://scholar.google.com/scholar_case?case=15647611274064109718&amp;q=emerald+marijuana&amp;hl=en&amp;as_sdt=4,38" TargetMode="External"/><Relationship Id="rId54" Type="http://schemas.openxmlformats.org/officeDocument/2006/relationships/hyperlink" Target="http://scholar.google.com/scholar_case?case=13613585210679693906&amp;q=emerald+marijuana&amp;hl=en&amp;as_sdt=4,38" TargetMode="External"/><Relationship Id="rId62" Type="http://schemas.openxmlformats.org/officeDocument/2006/relationships/hyperlink" Target="http://scholar.google.com/scholar_case?case=5876695266866623695&amp;q=emerald+marijuana&amp;hl=en&amp;as_sdt=4,38" TargetMode="External"/><Relationship Id="rId70" Type="http://schemas.openxmlformats.org/officeDocument/2006/relationships/hyperlink" Target="http://scholar.google.com/scholar_case?case=9243582117703452379&amp;q=emerald+marijuana&amp;hl=en&amp;as_sdt=4,38" TargetMode="External"/><Relationship Id="rId75" Type="http://schemas.openxmlformats.org/officeDocument/2006/relationships/hyperlink" Target="http://scholar.google.com/scholar_case?case=12394314758738904678&amp;q=emerald+marijuana&amp;hl=en&amp;as_sdt=4,38" TargetMode="External"/><Relationship Id="rId83" Type="http://schemas.openxmlformats.org/officeDocument/2006/relationships/hyperlink" Target="http://scholar.google.com/scholar_case?case=12394314758738904678&amp;q=emerald+marijuana&amp;hl=en&amp;as_sdt=4,38" TargetMode="External"/><Relationship Id="rId88" Type="http://schemas.openxmlformats.org/officeDocument/2006/relationships/hyperlink" Target="http://scholar.google.com/scholar_case?case=10848240486004387791&amp;q=emerald+marijuana&amp;hl=en&amp;as_sdt=4,38" TargetMode="External"/><Relationship Id="rId91" Type="http://schemas.openxmlformats.org/officeDocument/2006/relationships/hyperlink" Target="http://scholar.google.com/scholar_case?case=12394314758738904678&amp;q=emerald+marijuana&amp;hl=en&amp;as_sdt=4,38" TargetMode="External"/><Relationship Id="rId96" Type="http://schemas.openxmlformats.org/officeDocument/2006/relationships/hyperlink" Target="http://scholar.google.com/scholar_case?case=10894716839911389166&amp;q=emerald+marijuana&amp;hl=en&amp;as_sdt=4,38" TargetMode="External"/><Relationship Id="rId111" Type="http://schemas.openxmlformats.org/officeDocument/2006/relationships/hyperlink" Target="http://scholar.google.com/scholar_case?case=12394314758738904678&amp;q=emerald+marijuana&amp;hl=en&amp;as_sdt=4,38" TargetMode="External"/><Relationship Id="rId132" Type="http://schemas.openxmlformats.org/officeDocument/2006/relationships/hyperlink" Target="http://scholar.google.com/scholar_case?case=17055043890936848595&amp;q=emerald+marijuana&amp;hl=en&amp;as_sdt=4,38" TargetMode="External"/><Relationship Id="rId140" Type="http://schemas.openxmlformats.org/officeDocument/2006/relationships/hyperlink" Target="http://scholar.google.com/scholar_case?case=602735148209095660&amp;q=emerald+marijuana&amp;hl=en&amp;as_sdt=4,38" TargetMode="External"/><Relationship Id="rId145" Type="http://schemas.openxmlformats.org/officeDocument/2006/relationships/hyperlink" Target="http://scholar.google.com/scholar_case?case=13613585210679693906&amp;q=emerald+marijuana&amp;hl=en&amp;as_sdt=4,38"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holar.google.com/scholar_case?case=12394314758738904678&amp;q=emerald+marijuana&amp;hl=en&amp;as_sdt=4,38" TargetMode="External"/><Relationship Id="rId15" Type="http://schemas.openxmlformats.org/officeDocument/2006/relationships/hyperlink" Target="http://scholar.google.com/scholar_case?case=12394314758738904678&amp;q=emerald+marijuana&amp;hl=en&amp;as_sdt=4,38" TargetMode="External"/><Relationship Id="rId23" Type="http://schemas.openxmlformats.org/officeDocument/2006/relationships/hyperlink" Target="http://scholar.google.com/scholar_case?case=12394314758738904678&amp;q=emerald+marijuana&amp;hl=en&amp;as_sdt=4,38" TargetMode="External"/><Relationship Id="rId28" Type="http://schemas.openxmlformats.org/officeDocument/2006/relationships/hyperlink" Target="http://scholar.google.com/scholar_case?case=12394314758738904678&amp;q=emerald+marijuana&amp;hl=en&amp;as_sdt=4,38" TargetMode="External"/><Relationship Id="rId36" Type="http://schemas.openxmlformats.org/officeDocument/2006/relationships/hyperlink" Target="http://scholar.google.com/scholar_case?case=15647611274064109718&amp;q=emerald+marijuana&amp;hl=en&amp;as_sdt=4,38" TargetMode="External"/><Relationship Id="rId49" Type="http://schemas.openxmlformats.org/officeDocument/2006/relationships/hyperlink" Target="http://scholar.google.com/scholar_case?case=12394314758738904678&amp;q=emerald+marijuana&amp;hl=en&amp;as_sdt=4,38" TargetMode="External"/><Relationship Id="rId57" Type="http://schemas.openxmlformats.org/officeDocument/2006/relationships/hyperlink" Target="http://scholar.google.com/scholar_case?case=3783141270511613567&amp;q=emerald+marijuana&amp;hl=en&amp;as_sdt=4,38" TargetMode="External"/><Relationship Id="rId106" Type="http://schemas.openxmlformats.org/officeDocument/2006/relationships/hyperlink" Target="http://scholar.google.com/scholar_case?case=12394314758738904678&amp;q=emerald+marijuana&amp;hl=en&amp;as_sdt=4,38" TargetMode="External"/><Relationship Id="rId114" Type="http://schemas.openxmlformats.org/officeDocument/2006/relationships/hyperlink" Target="http://scholar.google.com/scholar_case?case=13120354120894179070&amp;q=emerald+marijuana&amp;hl=en&amp;as_sdt=4,38" TargetMode="External"/><Relationship Id="rId119" Type="http://schemas.openxmlformats.org/officeDocument/2006/relationships/hyperlink" Target="http://scholar.google.com/scholar_case?case=9071092382039138996&amp;q=emerald+marijuana&amp;hl=en&amp;as_sdt=4,38" TargetMode="External"/><Relationship Id="rId127" Type="http://schemas.openxmlformats.org/officeDocument/2006/relationships/hyperlink" Target="http://scholar.google.com/scholar_case?case=12394314758738904678&amp;q=emerald+marijuana&amp;hl=en&amp;as_sdt=4,38" TargetMode="External"/><Relationship Id="rId10" Type="http://schemas.openxmlformats.org/officeDocument/2006/relationships/hyperlink" Target="http://scholar.google.com/scholar_case?case=15647611274064109718&amp;q=emerald+marijuana&amp;hl=en&amp;as_sdt=4,38" TargetMode="External"/><Relationship Id="rId31" Type="http://schemas.openxmlformats.org/officeDocument/2006/relationships/hyperlink" Target="http://scholar.google.com/scholar_case?case=365600184474959548&amp;q=emerald+marijuana&amp;hl=en&amp;as_sdt=4,38" TargetMode="External"/><Relationship Id="rId44" Type="http://schemas.openxmlformats.org/officeDocument/2006/relationships/hyperlink" Target="http://scholar.google.com/scholar_case?case=3688851671868228331&amp;q=emerald+marijuana&amp;hl=en&amp;as_sdt=4,38" TargetMode="External"/><Relationship Id="rId52" Type="http://schemas.openxmlformats.org/officeDocument/2006/relationships/hyperlink" Target="http://scholar.google.com/scholar_case?case=13613585210679693906&amp;q=emerald+marijuana&amp;hl=en&amp;as_sdt=4,38" TargetMode="External"/><Relationship Id="rId60" Type="http://schemas.openxmlformats.org/officeDocument/2006/relationships/hyperlink" Target="http://scholar.google.com/scholar_case?case=15661608482215594777&amp;q=emerald+marijuana&amp;hl=en&amp;as_sdt=4,38" TargetMode="External"/><Relationship Id="rId65" Type="http://schemas.openxmlformats.org/officeDocument/2006/relationships/hyperlink" Target="http://scholar.google.com/scholar_case?case=426636661616801210&amp;q=emerald+marijuana&amp;hl=en&amp;as_sdt=4,38" TargetMode="External"/><Relationship Id="rId73" Type="http://schemas.openxmlformats.org/officeDocument/2006/relationships/hyperlink" Target="http://scholar.google.com/scholar_case?case=426636661616801210&amp;q=emerald+marijuana&amp;hl=en&amp;as_sdt=4,38" TargetMode="External"/><Relationship Id="rId78" Type="http://schemas.openxmlformats.org/officeDocument/2006/relationships/hyperlink" Target="http://scholar.google.com/scholar_case?case=12394314758738904678&amp;q=emerald+marijuana&amp;hl=en&amp;as_sdt=4,38" TargetMode="External"/><Relationship Id="rId81" Type="http://schemas.openxmlformats.org/officeDocument/2006/relationships/hyperlink" Target="http://scholar.google.com/scholar_case?case=3306838635547062085&amp;q=emerald+marijuana&amp;hl=en&amp;as_sdt=4,38" TargetMode="External"/><Relationship Id="rId86" Type="http://schemas.openxmlformats.org/officeDocument/2006/relationships/hyperlink" Target="http://scholar.google.com/scholar_case?case=12394314758738904678&amp;q=emerald+marijuana&amp;hl=en&amp;as_sdt=4,38" TargetMode="External"/><Relationship Id="rId94" Type="http://schemas.openxmlformats.org/officeDocument/2006/relationships/hyperlink" Target="http://scholar.google.com/scholar_case?case=12394314758738904678&amp;q=emerald+marijuana&amp;hl=en&amp;as_sdt=4,38" TargetMode="External"/><Relationship Id="rId99" Type="http://schemas.openxmlformats.org/officeDocument/2006/relationships/hyperlink" Target="http://scholar.google.com/scholar_case?case=3358010003227436496&amp;q=emerald+marijuana&amp;hl=en&amp;as_sdt=4,38" TargetMode="External"/><Relationship Id="rId101" Type="http://schemas.openxmlformats.org/officeDocument/2006/relationships/hyperlink" Target="http://scholar.google.com/scholar_case?case=12394314758738904678&amp;q=emerald+marijuana&amp;hl=en&amp;as_sdt=4,38" TargetMode="External"/><Relationship Id="rId122" Type="http://schemas.openxmlformats.org/officeDocument/2006/relationships/hyperlink" Target="http://scholar.google.com/scholar_case?case=12394314758738904678&amp;q=emerald+marijuana&amp;hl=en&amp;as_sdt=4,38" TargetMode="External"/><Relationship Id="rId130" Type="http://schemas.openxmlformats.org/officeDocument/2006/relationships/hyperlink" Target="http://scholar.google.com/scholar_case?case=12394314758738904678&amp;q=emerald+marijuana&amp;hl=en&amp;as_sdt=4,38" TargetMode="External"/><Relationship Id="rId135" Type="http://schemas.openxmlformats.org/officeDocument/2006/relationships/hyperlink" Target="http://scholar.google.com/scholar_case?case=12394314758738904678&amp;q=emerald+marijuana&amp;hl=en&amp;as_sdt=4,38" TargetMode="External"/><Relationship Id="rId143" Type="http://schemas.openxmlformats.org/officeDocument/2006/relationships/hyperlink" Target="http://scholar.google.com/scholar_case?case=13613585210679693906&amp;q=emerald+marijuana&amp;hl=en&amp;as_sdt=4,38" TargetMode="External"/><Relationship Id="rId148" Type="http://schemas.openxmlformats.org/officeDocument/2006/relationships/hyperlink" Target="http://scholar.google.com/scholar_case?case=3306838635547062085&amp;q=emerald+marijuana&amp;hl=en&amp;as_sdt=4,38" TargetMode="External"/><Relationship Id="rId151" Type="http://schemas.openxmlformats.org/officeDocument/2006/relationships/hyperlink" Target="http://scholar.google.com/scholar_case?case=15647611274064109718&amp;q=emerald+marijuana&amp;hl=en&amp;as_sdt=4,38" TargetMode="External"/><Relationship Id="rId4" Type="http://schemas.openxmlformats.org/officeDocument/2006/relationships/webSettings" Target="webSettings.xml"/><Relationship Id="rId9" Type="http://schemas.openxmlformats.org/officeDocument/2006/relationships/hyperlink" Target="http://scholar.google.com/scholar_case?case=12394314758738904678&amp;q=emerald+marijuana&amp;hl=en&amp;as_sdt=4,38" TargetMode="External"/><Relationship Id="rId13" Type="http://schemas.openxmlformats.org/officeDocument/2006/relationships/hyperlink" Target="http://scholar.google.com/scholar_case?case=12394314758738904678&amp;q=emerald+marijuana&amp;hl=en&amp;as_sdt=4,38" TargetMode="External"/><Relationship Id="rId18" Type="http://schemas.openxmlformats.org/officeDocument/2006/relationships/hyperlink" Target="http://scholar.google.com/scholar_case?case=12394314758738904678&amp;q=emerald+marijuana&amp;hl=en&amp;as_sdt=4,38" TargetMode="External"/><Relationship Id="rId39" Type="http://schemas.openxmlformats.org/officeDocument/2006/relationships/hyperlink" Target="http://scholar.google.com/scholar_case?case=15647611274064109718&amp;q=emerald+marijuana&amp;hl=en&amp;as_sdt=4,38" TargetMode="External"/><Relationship Id="rId109" Type="http://schemas.openxmlformats.org/officeDocument/2006/relationships/hyperlink" Target="http://scholar.google.com/scholar_case?case=6060716669529096845&amp;q=emerald+marijuana&amp;hl=en&amp;as_sdt=4,38" TargetMode="External"/><Relationship Id="rId34" Type="http://schemas.openxmlformats.org/officeDocument/2006/relationships/hyperlink" Target="http://scholar.google.com/scholar_case?case=7212849114761595954&amp;q=emerald+marijuana&amp;hl=en&amp;as_sdt=4,38" TargetMode="External"/><Relationship Id="rId50" Type="http://schemas.openxmlformats.org/officeDocument/2006/relationships/hyperlink" Target="http://scholar.google.com/scholar_case?case=13952612064017874982&amp;q=emerald+marijuana&amp;hl=en&amp;as_sdt=4,38" TargetMode="External"/><Relationship Id="rId55" Type="http://schemas.openxmlformats.org/officeDocument/2006/relationships/hyperlink" Target="http://scholar.google.com/scholar_case?case=15661608482215594777&amp;q=emerald+marijuana&amp;hl=en&amp;as_sdt=4,38" TargetMode="External"/><Relationship Id="rId76" Type="http://schemas.openxmlformats.org/officeDocument/2006/relationships/hyperlink" Target="http://scholar.google.com/scholar_case?case=12394314758738904678&amp;q=emerald+marijuana&amp;hl=en&amp;as_sdt=4,38" TargetMode="External"/><Relationship Id="rId97" Type="http://schemas.openxmlformats.org/officeDocument/2006/relationships/hyperlink" Target="http://scholar.google.com/scholar_case?case=15647611274064109718&amp;q=emerald+marijuana&amp;hl=en&amp;as_sdt=4,38" TargetMode="External"/><Relationship Id="rId104" Type="http://schemas.openxmlformats.org/officeDocument/2006/relationships/hyperlink" Target="http://scholar.google.com/scholar_case?case=13613585210679693906&amp;q=emerald+marijuana&amp;hl=en&amp;as_sdt=4,38" TargetMode="External"/><Relationship Id="rId120" Type="http://schemas.openxmlformats.org/officeDocument/2006/relationships/hyperlink" Target="http://scholar.google.com/scholar_case?case=4174729399921228676&amp;q=emerald+marijuana&amp;hl=en&amp;as_sdt=4,38" TargetMode="External"/><Relationship Id="rId125" Type="http://schemas.openxmlformats.org/officeDocument/2006/relationships/hyperlink" Target="http://scholar.google.com/scholar_case?case=13613585210679693906&amp;q=emerald+marijuana&amp;hl=en&amp;as_sdt=4,38" TargetMode="External"/><Relationship Id="rId141" Type="http://schemas.openxmlformats.org/officeDocument/2006/relationships/hyperlink" Target="http://scholar.google.com/scholar_case?case=8192627478814485188&amp;q=emerald+marijuana&amp;hl=en&amp;as_sdt=4,38" TargetMode="External"/><Relationship Id="rId146" Type="http://schemas.openxmlformats.org/officeDocument/2006/relationships/hyperlink" Target="http://scholar.google.com/scholar_case?case=13613585210679693906&amp;q=emerald+marijuana&amp;hl=en&amp;as_sdt=4,38" TargetMode="External"/><Relationship Id="rId7" Type="http://schemas.openxmlformats.org/officeDocument/2006/relationships/hyperlink" Target="http://scholar.google.com/scholar_case?case=12394314758738904678&amp;q=emerald+marijuana&amp;hl=en&amp;as_sdt=4,38" TargetMode="External"/><Relationship Id="rId71" Type="http://schemas.openxmlformats.org/officeDocument/2006/relationships/hyperlink" Target="http://scholar.google.com/scholar_case?case=10894716839911389166&amp;q=emerald+marijuana&amp;hl=en&amp;as_sdt=4,38" TargetMode="External"/><Relationship Id="rId92" Type="http://schemas.openxmlformats.org/officeDocument/2006/relationships/hyperlink" Target="http://scholar.google.com/scholar_case?case=10848240486004387791&amp;q=emerald+marijuana&amp;hl=en&amp;as_sdt=4,38" TargetMode="External"/><Relationship Id="rId2" Type="http://schemas.microsoft.com/office/2007/relationships/stylesWithEffects" Target="stylesWithEffects.xml"/><Relationship Id="rId29" Type="http://schemas.openxmlformats.org/officeDocument/2006/relationships/hyperlink" Target="http://scholar.google.com/scholar_case?case=9764091134585266905&amp;q=emerald+marijuana&amp;hl=en&amp;as_sdt=4,38" TargetMode="External"/><Relationship Id="rId24" Type="http://schemas.openxmlformats.org/officeDocument/2006/relationships/hyperlink" Target="http://scholar.google.com/scholar_case?case=16848637413593017081&amp;q=emerald+marijuana&amp;hl=en&amp;as_sdt=4,38" TargetMode="External"/><Relationship Id="rId40" Type="http://schemas.openxmlformats.org/officeDocument/2006/relationships/hyperlink" Target="http://scholar.google.com/scholar_case?case=10848240486004387791&amp;q=emerald+marijuana&amp;hl=en&amp;as_sdt=4,38" TargetMode="External"/><Relationship Id="rId45" Type="http://schemas.openxmlformats.org/officeDocument/2006/relationships/hyperlink" Target="http://scholar.google.com/scholar_case?case=15647611274064109718&amp;q=emerald+marijuana&amp;hl=en&amp;as_sdt=4,38" TargetMode="External"/><Relationship Id="rId66" Type="http://schemas.openxmlformats.org/officeDocument/2006/relationships/hyperlink" Target="http://scholar.google.com/scholar_case?case=9272959520166823796&amp;q=emerald+marijuana&amp;hl=en&amp;as_sdt=4,38" TargetMode="External"/><Relationship Id="rId87" Type="http://schemas.openxmlformats.org/officeDocument/2006/relationships/hyperlink" Target="http://scholar.google.com/scholar_case?case=12394314758738904678&amp;q=emerald+marijuana&amp;hl=en&amp;as_sdt=4,38" TargetMode="External"/><Relationship Id="rId110" Type="http://schemas.openxmlformats.org/officeDocument/2006/relationships/hyperlink" Target="http://scholar.google.com/scholar_case?case=12394314758738904678&amp;q=emerald+marijuana&amp;hl=en&amp;as_sdt=4,38" TargetMode="External"/><Relationship Id="rId115" Type="http://schemas.openxmlformats.org/officeDocument/2006/relationships/hyperlink" Target="http://scholar.google.com/scholar_case?about=13551790210183148160&amp;q=emerald+marijuana&amp;hl=en&amp;as_sdt=4,38" TargetMode="External"/><Relationship Id="rId131" Type="http://schemas.openxmlformats.org/officeDocument/2006/relationships/hyperlink" Target="http://scholar.google.com/scholar_case?case=12394314758738904678&amp;q=emerald+marijuana&amp;hl=en&amp;as_sdt=4,38" TargetMode="External"/><Relationship Id="rId136" Type="http://schemas.openxmlformats.org/officeDocument/2006/relationships/hyperlink" Target="http://scholar.google.com/scholar_case?case=5105293575696067615&amp;q=emerald+marijuana&amp;hl=en&amp;as_sdt=4,38" TargetMode="External"/><Relationship Id="rId61" Type="http://schemas.openxmlformats.org/officeDocument/2006/relationships/hyperlink" Target="http://scholar.google.com/scholar_case?case=15647611274064109718&amp;q=emerald+marijuana&amp;hl=en&amp;as_sdt=4,38" TargetMode="External"/><Relationship Id="rId82" Type="http://schemas.openxmlformats.org/officeDocument/2006/relationships/hyperlink" Target="http://scholar.google.com/scholar_case?case=3306838635547062085&amp;q=emerald+marijuana&amp;hl=en&amp;as_sdt=4,38" TargetMode="External"/><Relationship Id="rId152" Type="http://schemas.openxmlformats.org/officeDocument/2006/relationships/hyperlink" Target="http://scholar.google.com/scholar_case?case=15647611274064109718&amp;q=emerald+marijuana&amp;hl=en&amp;as_sdt=4,38" TargetMode="External"/><Relationship Id="rId19" Type="http://schemas.openxmlformats.org/officeDocument/2006/relationships/hyperlink" Target="http://scholar.google.com/scholar_case?case=12394314758738904678&amp;q=emerald+marijuana&amp;hl=en&amp;as_sdt=4,38" TargetMode="External"/><Relationship Id="rId14" Type="http://schemas.openxmlformats.org/officeDocument/2006/relationships/hyperlink" Target="http://scholar.google.com/scholar_case?case=12394314758738904678&amp;q=emerald+marijuana&amp;hl=en&amp;as_sdt=4,38" TargetMode="External"/><Relationship Id="rId30" Type="http://schemas.openxmlformats.org/officeDocument/2006/relationships/hyperlink" Target="http://scholar.google.com/scholar_case?case=634914680507467055&amp;q=emerald+marijuana&amp;hl=en&amp;as_sdt=4,38" TargetMode="External"/><Relationship Id="rId35" Type="http://schemas.openxmlformats.org/officeDocument/2006/relationships/hyperlink" Target="http://scholar.google.com/scholar_case?case=15647611274064109718&amp;q=emerald+marijuana&amp;hl=en&amp;as_sdt=4,38" TargetMode="External"/><Relationship Id="rId56" Type="http://schemas.openxmlformats.org/officeDocument/2006/relationships/hyperlink" Target="http://scholar.google.com/scholar_case?case=5876695266866623695&amp;q=emerald+marijuana&amp;hl=en&amp;as_sdt=4,38" TargetMode="External"/><Relationship Id="rId77" Type="http://schemas.openxmlformats.org/officeDocument/2006/relationships/hyperlink" Target="http://scholar.google.com/scholar_case?case=6060716669529096845&amp;q=emerald+marijuana&amp;hl=en&amp;as_sdt=4,38" TargetMode="External"/><Relationship Id="rId100" Type="http://schemas.openxmlformats.org/officeDocument/2006/relationships/hyperlink" Target="http://scholar.google.com/scholar_case?case=9243582117703452379&amp;q=emerald+marijuana&amp;hl=en&amp;as_sdt=4,38" TargetMode="External"/><Relationship Id="rId105" Type="http://schemas.openxmlformats.org/officeDocument/2006/relationships/hyperlink" Target="http://scholar.google.com/scholar_case?case=12394314758738904678&amp;q=emerald+marijuana&amp;hl=en&amp;as_sdt=4,38" TargetMode="External"/><Relationship Id="rId126" Type="http://schemas.openxmlformats.org/officeDocument/2006/relationships/hyperlink" Target="http://scholar.google.com/scholar_case?case=13613585210679693906&amp;q=emerald+marijuana&amp;hl=en&amp;as_sdt=4,38" TargetMode="External"/><Relationship Id="rId147" Type="http://schemas.openxmlformats.org/officeDocument/2006/relationships/hyperlink" Target="http://scholar.google.com/scholar_case?case=3306838635547062085&amp;q=emerald+marijuana&amp;hl=en&amp;as_sdt=4,38" TargetMode="External"/><Relationship Id="rId8" Type="http://schemas.openxmlformats.org/officeDocument/2006/relationships/hyperlink" Target="http://scholar.google.com/scholar_case?case=12394314758738904678&amp;q=emerald+marijuana&amp;hl=en&amp;as_sdt=4,38" TargetMode="External"/><Relationship Id="rId51" Type="http://schemas.openxmlformats.org/officeDocument/2006/relationships/hyperlink" Target="http://scholar.google.com/scholar_case?case=15661608482215594777&amp;q=emerald+marijuana&amp;hl=en&amp;as_sdt=4,38" TargetMode="External"/><Relationship Id="rId72" Type="http://schemas.openxmlformats.org/officeDocument/2006/relationships/hyperlink" Target="http://scholar.google.com/scholar_case?case=9243582117703452379&amp;q=emerald+marijuana&amp;hl=en&amp;as_sdt=4,38" TargetMode="External"/><Relationship Id="rId93" Type="http://schemas.openxmlformats.org/officeDocument/2006/relationships/hyperlink" Target="http://scholar.google.com/scholar_case?case=1302744931558821555&amp;q=emerald+marijuana&amp;hl=en&amp;as_sdt=4,38" TargetMode="External"/><Relationship Id="rId98" Type="http://schemas.openxmlformats.org/officeDocument/2006/relationships/hyperlink" Target="http://scholar.google.com/scholar_case?case=8555735987895894452&amp;q=emerald+marijuana&amp;hl=en&amp;as_sdt=4,38" TargetMode="External"/><Relationship Id="rId121" Type="http://schemas.openxmlformats.org/officeDocument/2006/relationships/hyperlink" Target="http://scholar.google.com/scholar_case?case=3306838635547062085&amp;q=emerald+marijuana&amp;hl=en&amp;as_sdt=4,38" TargetMode="External"/><Relationship Id="rId142" Type="http://schemas.openxmlformats.org/officeDocument/2006/relationships/hyperlink" Target="http://scholar.google.com/scholar_case?case=3688851671868228331&amp;q=emerald+marijuana&amp;hl=en&amp;as_sdt=4,38"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664ADF7</Template>
  <TotalTime>3</TotalTime>
  <Pages>30</Pages>
  <Words>20907</Words>
  <Characters>119172</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
    </vt:vector>
  </TitlesOfParts>
  <Company>Oregon Judicial Department</Company>
  <LinksUpToDate>false</LinksUpToDate>
  <CharactersWithSpaces>139800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Courtland Geyer</dc:creator>
  <cp:lastModifiedBy>Courtland Geyer</cp:lastModifiedBy>
  <cp:revision>1</cp:revision>
  <dcterms:created xsi:type="dcterms:W3CDTF">2015-01-27T16:40:00Z</dcterms:created>
  <dcterms:modified xsi:type="dcterms:W3CDTF">2015-01-27T16:43:00Z</dcterms:modified>
</cp:coreProperties>
</file>