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12" w:rsidRDefault="00F50512">
      <w:pPr>
        <w:rPr>
          <w:b/>
          <w:u w:val="single"/>
        </w:rPr>
      </w:pPr>
    </w:p>
    <w:p w:rsidR="00F50512" w:rsidRDefault="00F50512">
      <w:pPr>
        <w:rPr>
          <w:b/>
          <w:u w:val="single"/>
        </w:rPr>
      </w:pPr>
    </w:p>
    <w:p w:rsidR="008F5500" w:rsidRDefault="008F5500">
      <w:r>
        <w:rPr>
          <w:b/>
          <w:u w:val="single"/>
        </w:rPr>
        <w:t>Introduction</w:t>
      </w:r>
    </w:p>
    <w:p w:rsidR="008F5500" w:rsidRDefault="008F5500">
      <w:r>
        <w:rPr>
          <w:i/>
        </w:rPr>
        <w:t>Reference</w:t>
      </w:r>
      <w:r>
        <w:t>: I.R.C. section 6531</w:t>
      </w:r>
    </w:p>
    <w:p w:rsidR="008F5500" w:rsidRDefault="008F5500"/>
    <w:p w:rsidR="008F5500" w:rsidRPr="008F5500" w:rsidRDefault="008F5500"/>
    <w:p w:rsidR="008F5500" w:rsidRDefault="008F5500">
      <w:pPr>
        <w:rPr>
          <w:b/>
          <w:u w:val="single"/>
        </w:rPr>
      </w:pPr>
    </w:p>
    <w:p w:rsidR="008F5500" w:rsidRDefault="008F5500">
      <w:r>
        <w:t>The statute of limitations on criminal prosecutions under the tax code is found in section 6531. The statute provides for a limitation of 3 years on bringing an indictment against a person. However, this general rule is more or less subsumed by a list of eight offenses for which the limitations period is 6 years. These are:</w:t>
      </w:r>
    </w:p>
    <w:p w:rsidR="008F5500" w:rsidRDefault="008F5500" w:rsidP="008F5500">
      <w:pPr>
        <w:pStyle w:val="ListParagraph"/>
        <w:numPr>
          <w:ilvl w:val="0"/>
          <w:numId w:val="1"/>
        </w:numPr>
      </w:pPr>
      <w:r>
        <w:t>Defrauding the United States or one of its agencies</w:t>
      </w:r>
      <w:r w:rsidR="00D417FA">
        <w:t xml:space="preserve"> in any manner (including conspiring to defraud, attempting to defraud, and impeding, impairing, obstructing and defeating the lawful functions of the IRS).</w:t>
      </w:r>
    </w:p>
    <w:p w:rsidR="00D417FA" w:rsidRDefault="00D417FA" w:rsidP="008F5500">
      <w:pPr>
        <w:pStyle w:val="ListParagraph"/>
        <w:numPr>
          <w:ilvl w:val="0"/>
          <w:numId w:val="1"/>
        </w:numPr>
      </w:pPr>
      <w:r>
        <w:t>Willfully attempting in any manner to evade or defeat any tax or tax payment.</w:t>
      </w:r>
    </w:p>
    <w:p w:rsidR="00D417FA" w:rsidRDefault="00D417FA" w:rsidP="00D417FA">
      <w:pPr>
        <w:pStyle w:val="ListParagraph"/>
        <w:numPr>
          <w:ilvl w:val="0"/>
          <w:numId w:val="1"/>
        </w:numPr>
      </w:pPr>
      <w:r>
        <w:t>W</w:t>
      </w:r>
      <w:r w:rsidRPr="00D417FA">
        <w:t>illfully aiding or assis</w:t>
      </w:r>
      <w:bookmarkStart w:id="0" w:name="_GoBack"/>
      <w:bookmarkEnd w:id="0"/>
      <w:r w:rsidRPr="00D417FA">
        <w:t>ting in, or procuring, counseling, or advising, the preparation or presentation under, or in connection with any matter arising under, the internal revenue laws, of a false or fraudulent return, affidavit, claim, or document</w:t>
      </w:r>
      <w:r>
        <w:t xml:space="preserve"> </w:t>
      </w:r>
      <w:r w:rsidRPr="00D417FA">
        <w:t>(whether or not such falsity or fraud is with the knowledge or consent of the person authorized or required to present such return, affidavit, claim, or document)</w:t>
      </w:r>
      <w:r>
        <w:t>.</w:t>
      </w:r>
    </w:p>
    <w:p w:rsidR="00D417FA" w:rsidRDefault="00D417FA" w:rsidP="00D417FA">
      <w:pPr>
        <w:pStyle w:val="ListParagraph"/>
        <w:numPr>
          <w:ilvl w:val="0"/>
          <w:numId w:val="1"/>
        </w:numPr>
      </w:pPr>
      <w:r>
        <w:t>Willfully failing to pay any tax or make any return (other than an information return) on time.</w:t>
      </w:r>
    </w:p>
    <w:p w:rsidR="00D417FA" w:rsidRDefault="00057295" w:rsidP="00D417FA">
      <w:pPr>
        <w:pStyle w:val="ListParagraph"/>
        <w:numPr>
          <w:ilvl w:val="0"/>
          <w:numId w:val="1"/>
        </w:numPr>
      </w:pPr>
      <w:r>
        <w:t>Willfully making or signing false documents under penalty of perjury, or giving the IRS a fraudulent or false return, statement, or other document.</w:t>
      </w:r>
    </w:p>
    <w:p w:rsidR="00057295" w:rsidRDefault="00057295" w:rsidP="00D417FA">
      <w:pPr>
        <w:pStyle w:val="ListParagraph"/>
        <w:numPr>
          <w:ilvl w:val="0"/>
          <w:numId w:val="1"/>
        </w:numPr>
      </w:pPr>
      <w:r>
        <w:t>Corruptly or forcibly interfering with the due administration of the tax laws.</w:t>
      </w:r>
    </w:p>
    <w:p w:rsidR="00057295" w:rsidRDefault="00057295" w:rsidP="00D417FA">
      <w:pPr>
        <w:pStyle w:val="ListParagraph"/>
        <w:numPr>
          <w:ilvl w:val="0"/>
          <w:numId w:val="1"/>
        </w:numPr>
      </w:pPr>
      <w:r>
        <w:t>Certain offenses committed by U.S. officers or agents (i.e.: official corruption).</w:t>
      </w:r>
    </w:p>
    <w:p w:rsidR="00057295" w:rsidRDefault="00057295" w:rsidP="00D417FA">
      <w:pPr>
        <w:pStyle w:val="ListParagraph"/>
        <w:numPr>
          <w:ilvl w:val="0"/>
          <w:numId w:val="1"/>
        </w:numPr>
      </w:pPr>
      <w:r>
        <w:t>Offenses arising under the general federal conspiracy statute, where the object of the conspiracy is to attempt in any manner to evade or defeat any tax or tax payment.</w:t>
      </w:r>
    </w:p>
    <w:p w:rsidR="00D075BC" w:rsidRDefault="00D075BC">
      <w:r>
        <w:br w:type="page"/>
      </w:r>
    </w:p>
    <w:p w:rsidR="00057295" w:rsidRDefault="00D075BC" w:rsidP="00057295">
      <w:pPr>
        <w:rPr>
          <w:b/>
        </w:rPr>
      </w:pPr>
      <w:r>
        <w:rPr>
          <w:b/>
        </w:rPr>
        <w:lastRenderedPageBreak/>
        <w:t xml:space="preserve">FROM DOJ Criminal </w:t>
      </w:r>
      <w:r w:rsidR="005D432A">
        <w:rPr>
          <w:b/>
        </w:rPr>
        <w:t>Tax Manual:</w:t>
      </w:r>
    </w:p>
    <w:p w:rsidR="005D432A" w:rsidRDefault="005D432A" w:rsidP="00057295">
      <w:pPr>
        <w:rPr>
          <w:b/>
        </w:rPr>
      </w:pPr>
    </w:p>
    <w:p w:rsidR="005D432A" w:rsidRPr="00D075BC" w:rsidRDefault="005D432A" w:rsidP="005D43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38800" cy="7283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53" cy="72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95" w:rsidRDefault="00057295" w:rsidP="00057295"/>
    <w:p w:rsidR="00057295" w:rsidRDefault="005D432A" w:rsidP="005D432A">
      <w:pPr>
        <w:jc w:val="center"/>
      </w:pPr>
      <w:r>
        <w:rPr>
          <w:noProof/>
        </w:rPr>
        <w:lastRenderedPageBreak/>
        <w:drawing>
          <wp:inline distT="0" distB="0" distL="0" distR="0">
            <wp:extent cx="5777471" cy="538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744" cy="53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95" w:rsidRDefault="00057295"/>
    <w:p w:rsidR="00057295" w:rsidRDefault="00057295"/>
    <w:p w:rsidR="00057295" w:rsidRDefault="0005729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B6F79" w:rsidRDefault="002B6F79">
      <w:r>
        <w:rPr>
          <w:b/>
          <w:u w:val="single"/>
        </w:rPr>
        <w:lastRenderedPageBreak/>
        <w:t>Sneaky Tax Protestor</w:t>
      </w:r>
    </w:p>
    <w:p w:rsidR="002B6F79" w:rsidRPr="002B6F79" w:rsidRDefault="002B6F79">
      <w:r>
        <w:rPr>
          <w:i/>
        </w:rPr>
        <w:t>Case Reference</w:t>
      </w:r>
      <w:r>
        <w:t xml:space="preserve">: United States v. </w:t>
      </w:r>
      <w:proofErr w:type="spellStart"/>
      <w:r>
        <w:t>Halbig</w:t>
      </w:r>
      <w:proofErr w:type="spellEnd"/>
      <w:r>
        <w:t>, 390 U.S. 222 (1968).</w:t>
      </w:r>
    </w:p>
    <w:p w:rsidR="002B6F79" w:rsidRDefault="002B6F79">
      <w:pPr>
        <w:rPr>
          <w:b/>
        </w:rPr>
      </w:pPr>
    </w:p>
    <w:p w:rsidR="00B64EDA" w:rsidRDefault="00B64EDA">
      <w:pPr>
        <w:rPr>
          <w:b/>
        </w:rPr>
      </w:pPr>
    </w:p>
    <w:p w:rsidR="00B64EDA" w:rsidRDefault="00B64EDA">
      <w:pPr>
        <w:rPr>
          <w:b/>
        </w:rPr>
      </w:pPr>
    </w:p>
    <w:p w:rsidR="008917A7" w:rsidRDefault="00E270C3">
      <w:r>
        <w:rPr>
          <w:b/>
        </w:rPr>
        <w:t>Attorney:</w:t>
      </w:r>
      <w:r>
        <w:t xml:space="preserve"> John, it seems you have a bit of a problem.</w:t>
      </w:r>
    </w:p>
    <w:p w:rsidR="00E270C3" w:rsidRDefault="00E270C3"/>
    <w:p w:rsidR="00E270C3" w:rsidRDefault="00E270C3">
      <w:r>
        <w:rPr>
          <w:b/>
        </w:rPr>
        <w:t>John:</w:t>
      </w:r>
      <w:r>
        <w:t xml:space="preserve"> How do you mean?</w:t>
      </w:r>
    </w:p>
    <w:p w:rsidR="00E270C3" w:rsidRDefault="00E270C3"/>
    <w:p w:rsidR="00E270C3" w:rsidRDefault="00E270C3">
      <w:r>
        <w:rPr>
          <w:b/>
        </w:rPr>
        <w:t>Attorney:</w:t>
      </w:r>
      <w:r>
        <w:t xml:space="preserve"> Well, how can I break it to you? You’ve been charged by the U.S. government with attempting to evade taxes by filing of a false return</w:t>
      </w:r>
      <w:r w:rsidR="00BD29F6">
        <w:t xml:space="preserve"> and aiding in the preparation and presentation of a false return.</w:t>
      </w:r>
    </w:p>
    <w:p w:rsidR="00BD29F6" w:rsidRDefault="00BD29F6"/>
    <w:p w:rsidR="00BD29F6" w:rsidRDefault="00BD29F6">
      <w:r>
        <w:rPr>
          <w:b/>
        </w:rPr>
        <w:t>John:</w:t>
      </w:r>
      <w:r>
        <w:t xml:space="preserve"> So?</w:t>
      </w:r>
    </w:p>
    <w:p w:rsidR="00BD29F6" w:rsidRDefault="00BD29F6"/>
    <w:p w:rsidR="00BD29F6" w:rsidRDefault="00BD29F6">
      <w:r>
        <w:rPr>
          <w:b/>
        </w:rPr>
        <w:t>Attorney:</w:t>
      </w:r>
      <w:r>
        <w:t xml:space="preserve"> Um. You can go to jail if convicted.</w:t>
      </w:r>
    </w:p>
    <w:p w:rsidR="00BD29F6" w:rsidRDefault="00BD29F6"/>
    <w:p w:rsidR="00BD29F6" w:rsidRDefault="00BD29F6">
      <w:pPr>
        <w:rPr>
          <w:rFonts w:cs="Arial"/>
        </w:rPr>
      </w:pPr>
      <w:r>
        <w:rPr>
          <w:b/>
        </w:rPr>
        <w:t>John:</w:t>
      </w:r>
      <w:r>
        <w:t xml:space="preserve"> But the income tax isn’t even legal, so what’s the big deal? The Sixteenth Amendment was never properly ratified, you know. And</w:t>
      </w:r>
      <w:r>
        <w:rPr>
          <w:rFonts w:cs="Arial"/>
        </w:rPr>
        <w:t>—and!—I’m outside the statute of limitations anyway. It’s been well over three years since I filed that return, so I’m good.</w:t>
      </w:r>
    </w:p>
    <w:p w:rsidR="00BD29F6" w:rsidRDefault="00BD29F6">
      <w:pPr>
        <w:rPr>
          <w:rFonts w:cs="Arial"/>
        </w:rPr>
      </w:pPr>
    </w:p>
    <w:p w:rsidR="00BD29F6" w:rsidRDefault="00BD29F6">
      <w:pPr>
        <w:rPr>
          <w:rFonts w:cs="Arial"/>
        </w:rPr>
      </w:pPr>
      <w:r>
        <w:rPr>
          <w:rFonts w:cs="Arial"/>
          <w:b/>
        </w:rPr>
        <w:t>Attorney:</w:t>
      </w:r>
      <w:r>
        <w:rPr>
          <w:rFonts w:cs="Arial"/>
        </w:rPr>
        <w:t xml:space="preserve"> *shaking head* I can’t even— Just, don’t say anything about the Sixteenth Amendment in court. On the statute of limitations, you’re in trouble. The Code does say </w:t>
      </w:r>
      <w:proofErr w:type="gramStart"/>
      <w:r>
        <w:rPr>
          <w:rFonts w:cs="Arial"/>
        </w:rPr>
        <w:t>it’s</w:t>
      </w:r>
      <w:proofErr w:type="gramEnd"/>
      <w:r>
        <w:rPr>
          <w:rFonts w:cs="Arial"/>
        </w:rPr>
        <w:t xml:space="preserve"> three years, but there are a number of exceptions which extend the </w:t>
      </w:r>
      <w:r w:rsidR="003D5B80">
        <w:rPr>
          <w:rFonts w:cs="Arial"/>
        </w:rPr>
        <w:t>limitations period to six years. Basically, the exceptions swallow the rule, and your indictment is under those exceptions.</w:t>
      </w:r>
    </w:p>
    <w:p w:rsidR="003D5B80" w:rsidRDefault="003D5B80">
      <w:pPr>
        <w:rPr>
          <w:rFonts w:cs="Arial"/>
        </w:rPr>
      </w:pPr>
    </w:p>
    <w:p w:rsidR="003D5B80" w:rsidRDefault="003D5B80">
      <w:pPr>
        <w:rPr>
          <w:rFonts w:cs="Arial"/>
        </w:rPr>
      </w:pPr>
      <w:r>
        <w:rPr>
          <w:rFonts w:cs="Arial"/>
          <w:b/>
        </w:rPr>
        <w:t>John:</w:t>
      </w:r>
      <w:r>
        <w:rPr>
          <w:rFonts w:cs="Arial"/>
        </w:rPr>
        <w:t xml:space="preserve"> Whatever. They can’t do anything to me. I’m a sovereign citizen.</w:t>
      </w:r>
    </w:p>
    <w:p w:rsidR="003D5B80" w:rsidRDefault="003D5B80">
      <w:pPr>
        <w:rPr>
          <w:rFonts w:cs="Arial"/>
        </w:rPr>
      </w:pPr>
    </w:p>
    <w:p w:rsidR="003D5B80" w:rsidRDefault="003D5B80">
      <w:pPr>
        <w:rPr>
          <w:rFonts w:cs="Arial"/>
        </w:rPr>
      </w:pPr>
      <w:r>
        <w:rPr>
          <w:rFonts w:cs="Arial"/>
          <w:b/>
        </w:rPr>
        <w:t>Attorney:</w:t>
      </w:r>
      <w:r>
        <w:rPr>
          <w:rFonts w:cs="Arial"/>
        </w:rPr>
        <w:t xml:space="preserve"> Now, listen. Your indictment was filed today, that’s March 10</w:t>
      </w:r>
      <w:r w:rsidRPr="003D5B80">
        <w:rPr>
          <w:rFonts w:cs="Arial"/>
          <w:vertAlign w:val="superscript"/>
        </w:rPr>
        <w:t>th</w:t>
      </w:r>
      <w:r>
        <w:rPr>
          <w:rFonts w:cs="Arial"/>
        </w:rPr>
        <w:t>. You’d filed those dodgy tax returns on March 10</w:t>
      </w:r>
      <w:r w:rsidRPr="003D5B80">
        <w:rPr>
          <w:rFonts w:cs="Arial"/>
          <w:vertAlign w:val="superscript"/>
        </w:rPr>
        <w:t>th</w:t>
      </w:r>
      <w:r>
        <w:rPr>
          <w:rFonts w:cs="Arial"/>
        </w:rPr>
        <w:t xml:space="preserve"> and March 13</w:t>
      </w:r>
      <w:r w:rsidRPr="003D5B80">
        <w:rPr>
          <w:rFonts w:cs="Arial"/>
          <w:vertAlign w:val="superscript"/>
        </w:rPr>
        <w:t>th</w:t>
      </w:r>
      <w:r>
        <w:rPr>
          <w:rFonts w:cs="Arial"/>
        </w:rPr>
        <w:t>, 2009. Pretty much six years ago to the date.</w:t>
      </w:r>
    </w:p>
    <w:p w:rsidR="00845B22" w:rsidRDefault="00845B22">
      <w:pPr>
        <w:rPr>
          <w:rFonts w:cs="Arial"/>
        </w:rPr>
      </w:pPr>
    </w:p>
    <w:p w:rsidR="00845B22" w:rsidRDefault="00845B22">
      <w:pPr>
        <w:rPr>
          <w:rFonts w:cs="Arial"/>
        </w:rPr>
      </w:pPr>
      <w:r>
        <w:rPr>
          <w:rFonts w:cs="Arial"/>
          <w:b/>
        </w:rPr>
        <w:t>John:</w:t>
      </w:r>
      <w:r>
        <w:rPr>
          <w:rFonts w:cs="Arial"/>
        </w:rPr>
        <w:t xml:space="preserve"> *laughs* </w:t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>, boy, did I get them good! Those returns were due in 2008</w:t>
      </w:r>
      <w:r w:rsidR="00B3468A">
        <w:rPr>
          <w:rFonts w:cs="Arial"/>
        </w:rPr>
        <w:t>, and I got an extension</w:t>
      </w:r>
      <w:r w:rsidR="00256A33">
        <w:rPr>
          <w:rFonts w:cs="Arial"/>
        </w:rPr>
        <w:t>! Or two…</w:t>
      </w:r>
    </w:p>
    <w:p w:rsidR="00845B22" w:rsidRDefault="00845B22">
      <w:pPr>
        <w:rPr>
          <w:rFonts w:cs="Arial"/>
        </w:rPr>
      </w:pPr>
    </w:p>
    <w:p w:rsidR="00845B22" w:rsidRDefault="00845B22">
      <w:pPr>
        <w:rPr>
          <w:rFonts w:cs="Arial"/>
        </w:rPr>
      </w:pPr>
      <w:r>
        <w:rPr>
          <w:rFonts w:cs="Arial"/>
          <w:b/>
        </w:rPr>
        <w:t>Attorney:</w:t>
      </w:r>
      <w:r>
        <w:rPr>
          <w:rFonts w:cs="Arial"/>
        </w:rPr>
        <w:t xml:space="preserve"> But—</w:t>
      </w:r>
    </w:p>
    <w:p w:rsidR="00845B22" w:rsidRDefault="00845B22">
      <w:pPr>
        <w:rPr>
          <w:rFonts w:cs="Arial"/>
        </w:rPr>
      </w:pPr>
    </w:p>
    <w:p w:rsidR="00845B22" w:rsidRDefault="00845B22">
      <w:pPr>
        <w:rPr>
          <w:rFonts w:cs="Arial"/>
        </w:rPr>
      </w:pPr>
      <w:r>
        <w:rPr>
          <w:rFonts w:cs="Arial"/>
          <w:b/>
        </w:rPr>
        <w:t>John:</w:t>
      </w:r>
      <w:r>
        <w:rPr>
          <w:rFonts w:cs="Arial"/>
        </w:rPr>
        <w:t xml:space="preserve"> Say, doesn’t that put me outside the statute? It’s been more than 6 years. They can’t touch me!</w:t>
      </w:r>
    </w:p>
    <w:p w:rsidR="00845B22" w:rsidRDefault="00845B22">
      <w:pPr>
        <w:rPr>
          <w:rFonts w:cs="Arial"/>
        </w:rPr>
      </w:pPr>
    </w:p>
    <w:p w:rsidR="00845B22" w:rsidRDefault="00845B22">
      <w:pPr>
        <w:rPr>
          <w:rFonts w:cs="Arial"/>
        </w:rPr>
      </w:pPr>
      <w:r>
        <w:rPr>
          <w:rFonts w:cs="Arial"/>
          <w:b/>
        </w:rPr>
        <w:t>Attorney:</w:t>
      </w:r>
      <w:r>
        <w:rPr>
          <w:rFonts w:cs="Arial"/>
        </w:rPr>
        <w:t xml:space="preserve"> Well, not exactly. I mean, the government cut it close, but they got the cigar. Your crimes—um, your </w:t>
      </w:r>
      <w:r>
        <w:rPr>
          <w:rFonts w:cs="Arial"/>
          <w:i/>
        </w:rPr>
        <w:t>alleged</w:t>
      </w:r>
      <w:r>
        <w:rPr>
          <w:rFonts w:cs="Arial"/>
        </w:rPr>
        <w:t xml:space="preserve"> crimes—were committed when you filed the return.</w:t>
      </w:r>
    </w:p>
    <w:p w:rsidR="00845B22" w:rsidRDefault="00845B22">
      <w:pPr>
        <w:rPr>
          <w:rFonts w:cs="Arial"/>
        </w:rPr>
      </w:pPr>
    </w:p>
    <w:p w:rsidR="00845B22" w:rsidRDefault="00845B22">
      <w:pPr>
        <w:rPr>
          <w:rFonts w:cs="Arial"/>
        </w:rPr>
      </w:pPr>
      <w:r>
        <w:rPr>
          <w:rFonts w:cs="Arial"/>
          <w:b/>
        </w:rPr>
        <w:t>John:</w:t>
      </w:r>
      <w:r>
        <w:rPr>
          <w:rFonts w:cs="Arial"/>
        </w:rPr>
        <w:t xml:space="preserve"> Now, hold on. I Googled this stuff </w:t>
      </w:r>
      <w:r w:rsidR="00B3468A">
        <w:rPr>
          <w:rFonts w:cs="Arial"/>
        </w:rPr>
        <w:t>earlier. The statute of limitations—what is it, 6351?</w:t>
      </w:r>
    </w:p>
    <w:p w:rsidR="00B3468A" w:rsidRDefault="00B3468A">
      <w:pPr>
        <w:rPr>
          <w:rFonts w:cs="Arial"/>
        </w:rPr>
      </w:pPr>
    </w:p>
    <w:p w:rsidR="00B3468A" w:rsidRDefault="00B3468A">
      <w:pPr>
        <w:rPr>
          <w:rFonts w:cs="Arial"/>
        </w:rPr>
      </w:pPr>
      <w:r>
        <w:rPr>
          <w:rFonts w:cs="Arial"/>
          <w:b/>
        </w:rPr>
        <w:t>Attorney:</w:t>
      </w:r>
      <w:r>
        <w:rPr>
          <w:rFonts w:cs="Arial"/>
        </w:rPr>
        <w:t xml:space="preserve"> 6531…</w:t>
      </w:r>
    </w:p>
    <w:p w:rsidR="00B3468A" w:rsidRDefault="00B3468A">
      <w:pPr>
        <w:rPr>
          <w:rFonts w:cs="Arial"/>
        </w:rPr>
      </w:pPr>
    </w:p>
    <w:p w:rsidR="00B3468A" w:rsidRDefault="00B3468A">
      <w:pPr>
        <w:rPr>
          <w:rFonts w:cs="Arial"/>
        </w:rPr>
      </w:pPr>
      <w:r>
        <w:rPr>
          <w:rFonts w:cs="Arial"/>
          <w:b/>
        </w:rPr>
        <w:t xml:space="preserve">John: </w:t>
      </w:r>
      <w:r>
        <w:rPr>
          <w:rFonts w:cs="Arial"/>
        </w:rPr>
        <w:t>Right, whatever. So it says that you have to look at the rules in section 5613—</w:t>
      </w:r>
    </w:p>
    <w:p w:rsidR="00B3468A" w:rsidRDefault="00B3468A">
      <w:pPr>
        <w:rPr>
          <w:rFonts w:cs="Arial"/>
        </w:rPr>
      </w:pPr>
    </w:p>
    <w:p w:rsidR="00B3468A" w:rsidRDefault="00B3468A">
      <w:pPr>
        <w:rPr>
          <w:rFonts w:cs="Arial"/>
        </w:rPr>
      </w:pPr>
      <w:r>
        <w:rPr>
          <w:rFonts w:cs="Arial"/>
          <w:b/>
        </w:rPr>
        <w:lastRenderedPageBreak/>
        <w:t>Attorney:</w:t>
      </w:r>
      <w:r>
        <w:rPr>
          <w:rFonts w:cs="Arial"/>
        </w:rPr>
        <w:t xml:space="preserve"> 6513…</w:t>
      </w:r>
    </w:p>
    <w:p w:rsidR="00B3468A" w:rsidRDefault="00B3468A">
      <w:pPr>
        <w:rPr>
          <w:rFonts w:cs="Arial"/>
        </w:rPr>
      </w:pPr>
    </w:p>
    <w:p w:rsidR="00B3468A" w:rsidRDefault="00B3468A">
      <w:pPr>
        <w:rPr>
          <w:rFonts w:cs="Arial"/>
        </w:rPr>
      </w:pPr>
      <w:r>
        <w:rPr>
          <w:rFonts w:cs="Arial"/>
          <w:b/>
        </w:rPr>
        <w:t>John:</w:t>
      </w:r>
      <w:r>
        <w:rPr>
          <w:rFonts w:cs="Arial"/>
        </w:rPr>
        <w:t xml:space="preserve"> Yeah, I’m talking. Anyway, the rules of section 1653—</w:t>
      </w:r>
    </w:p>
    <w:p w:rsidR="00B3468A" w:rsidRDefault="00B3468A">
      <w:pPr>
        <w:rPr>
          <w:rFonts w:cs="Arial"/>
        </w:rPr>
      </w:pPr>
    </w:p>
    <w:p w:rsidR="00B3468A" w:rsidRDefault="00B3468A">
      <w:pPr>
        <w:rPr>
          <w:rFonts w:cs="Arial"/>
        </w:rPr>
      </w:pPr>
      <w:r>
        <w:rPr>
          <w:rFonts w:cs="Arial"/>
          <w:b/>
        </w:rPr>
        <w:t>Attorney:</w:t>
      </w:r>
      <w:r>
        <w:rPr>
          <w:rFonts w:cs="Arial"/>
        </w:rPr>
        <w:t xml:space="preserve"> *rolls eyes*</w:t>
      </w:r>
    </w:p>
    <w:p w:rsidR="00B3468A" w:rsidRDefault="00B3468A">
      <w:pPr>
        <w:rPr>
          <w:rFonts w:cs="Arial"/>
        </w:rPr>
      </w:pPr>
    </w:p>
    <w:p w:rsidR="00B3468A" w:rsidRDefault="00B3468A">
      <w:pPr>
        <w:rPr>
          <w:rFonts w:cs="Arial"/>
        </w:rPr>
      </w:pPr>
      <w:r>
        <w:rPr>
          <w:rFonts w:cs="Arial"/>
          <w:b/>
        </w:rPr>
        <w:t>John:</w:t>
      </w:r>
      <w:r>
        <w:rPr>
          <w:rFonts w:cs="Arial"/>
        </w:rPr>
        <w:t xml:space="preserve"> *looks pointedly at Attorney* —say that</w:t>
      </w:r>
      <w:r w:rsidR="00256A33">
        <w:rPr>
          <w:rFonts w:cs="Arial"/>
        </w:rPr>
        <w:t xml:space="preserve">—*ruffles papers*—“the last day </w:t>
      </w:r>
      <w:r w:rsidR="00256A33" w:rsidRPr="00256A33">
        <w:rPr>
          <w:rFonts w:cs="Arial"/>
        </w:rPr>
        <w:t>prescribed for filing the return or paying the tax shall be determined without regard to any extension of time granted the taxpayer</w:t>
      </w:r>
      <w:r w:rsidR="00256A33">
        <w:rPr>
          <w:rFonts w:cs="Arial"/>
        </w:rPr>
        <w:t>.” So the statute begins to run with the original due date of the return, April 15, 2009. I win.</w:t>
      </w:r>
    </w:p>
    <w:p w:rsidR="00256A33" w:rsidRDefault="00256A33">
      <w:pPr>
        <w:rPr>
          <w:rFonts w:cs="Arial"/>
        </w:rPr>
      </w:pPr>
    </w:p>
    <w:p w:rsidR="00256A33" w:rsidRDefault="00256A33">
      <w:pPr>
        <w:rPr>
          <w:rFonts w:cs="Arial"/>
        </w:rPr>
      </w:pPr>
      <w:r>
        <w:rPr>
          <w:rFonts w:cs="Arial"/>
          <w:b/>
        </w:rPr>
        <w:t>Attorney:</w:t>
      </w:r>
      <w:r>
        <w:rPr>
          <w:rFonts w:cs="Arial"/>
        </w:rPr>
        <w:t xml:space="preserve"> Nice try, but that rule only applies when a return is filed </w:t>
      </w:r>
      <w:r>
        <w:rPr>
          <w:rFonts w:cs="Arial"/>
          <w:i/>
        </w:rPr>
        <w:t>before</w:t>
      </w:r>
      <w:r>
        <w:rPr>
          <w:rFonts w:cs="Arial"/>
        </w:rPr>
        <w:t xml:space="preserve"> it is due. When that happens, the period of limitations begins to run on the due date. But if you file the return </w:t>
      </w:r>
      <w:r>
        <w:rPr>
          <w:rFonts w:cs="Arial"/>
          <w:i/>
        </w:rPr>
        <w:t>after</w:t>
      </w:r>
      <w:r w:rsidR="002B6F79">
        <w:rPr>
          <w:rFonts w:cs="Arial"/>
        </w:rPr>
        <w:t xml:space="preserve"> it is due, the statute begins to run when the return is actually filed.</w:t>
      </w:r>
    </w:p>
    <w:p w:rsidR="00B64EDA" w:rsidRDefault="00B64EDA">
      <w:pPr>
        <w:rPr>
          <w:rFonts w:cs="Arial"/>
        </w:rPr>
      </w:pPr>
    </w:p>
    <w:p w:rsidR="00B64EDA" w:rsidRDefault="00B64EDA">
      <w:pPr>
        <w:rPr>
          <w:rFonts w:cs="Arial"/>
        </w:rPr>
      </w:pPr>
      <w:r>
        <w:rPr>
          <w:rFonts w:cs="Arial"/>
          <w:b/>
        </w:rPr>
        <w:t>John:</w:t>
      </w:r>
      <w:r>
        <w:rPr>
          <w:rFonts w:cs="Arial"/>
        </w:rPr>
        <w:t xml:space="preserve"> That’s stupid. Says who?</w:t>
      </w:r>
    </w:p>
    <w:p w:rsidR="00B64EDA" w:rsidRDefault="00B64EDA">
      <w:pPr>
        <w:rPr>
          <w:rFonts w:cs="Arial"/>
        </w:rPr>
      </w:pPr>
    </w:p>
    <w:p w:rsidR="00B64EDA" w:rsidRDefault="00B64EDA">
      <w:pPr>
        <w:rPr>
          <w:rFonts w:cs="Arial"/>
        </w:rPr>
      </w:pPr>
      <w:r>
        <w:rPr>
          <w:rFonts w:cs="Arial"/>
          <w:b/>
        </w:rPr>
        <w:t>Attorney:</w:t>
      </w:r>
      <w:r>
        <w:rPr>
          <w:rFonts w:cs="Arial"/>
        </w:rPr>
        <w:t xml:space="preserve"> A group of nice men in black robes </w:t>
      </w:r>
      <w:r w:rsidR="00E65848">
        <w:rPr>
          <w:rFonts w:cs="Arial"/>
        </w:rPr>
        <w:t>called the Supreme Court, in 1968.</w:t>
      </w:r>
    </w:p>
    <w:p w:rsidR="00E65848" w:rsidRDefault="00E65848">
      <w:pPr>
        <w:rPr>
          <w:rFonts w:cs="Arial"/>
        </w:rPr>
      </w:pPr>
    </w:p>
    <w:p w:rsidR="00E65848" w:rsidRDefault="00E65848">
      <w:pPr>
        <w:rPr>
          <w:rFonts w:cs="Arial"/>
        </w:rPr>
      </w:pPr>
      <w:r>
        <w:rPr>
          <w:rFonts w:cs="Arial"/>
          <w:b/>
        </w:rPr>
        <w:t>John:</w:t>
      </w:r>
      <w:r>
        <w:rPr>
          <w:rFonts w:cs="Arial"/>
        </w:rPr>
        <w:t xml:space="preserve"> So the indictment is effective?</w:t>
      </w:r>
    </w:p>
    <w:p w:rsidR="00E65848" w:rsidRDefault="00E65848">
      <w:pPr>
        <w:rPr>
          <w:rFonts w:cs="Arial"/>
        </w:rPr>
      </w:pPr>
    </w:p>
    <w:p w:rsidR="00E65848" w:rsidRDefault="00E65848">
      <w:pPr>
        <w:rPr>
          <w:rFonts w:cs="Arial"/>
        </w:rPr>
      </w:pPr>
      <w:r>
        <w:rPr>
          <w:rFonts w:cs="Arial"/>
          <w:b/>
        </w:rPr>
        <w:t>Attorney:</w:t>
      </w:r>
      <w:r>
        <w:rPr>
          <w:rFonts w:cs="Arial"/>
        </w:rPr>
        <w:t xml:space="preserve"> Yes.</w:t>
      </w:r>
    </w:p>
    <w:p w:rsidR="00E65848" w:rsidRDefault="00E65848">
      <w:pPr>
        <w:rPr>
          <w:rFonts w:cs="Arial"/>
        </w:rPr>
      </w:pPr>
    </w:p>
    <w:p w:rsidR="00E65848" w:rsidRDefault="00E65848">
      <w:pPr>
        <w:rPr>
          <w:rFonts w:cs="Arial"/>
        </w:rPr>
      </w:pPr>
      <w:r>
        <w:rPr>
          <w:rFonts w:cs="Arial"/>
          <w:b/>
        </w:rPr>
        <w:t>John:</w:t>
      </w:r>
      <w:r>
        <w:rPr>
          <w:rFonts w:cs="Arial"/>
        </w:rPr>
        <w:t xml:space="preserve"> Can you get me out of the country?</w:t>
      </w:r>
    </w:p>
    <w:p w:rsidR="00E65848" w:rsidRDefault="00E65848">
      <w:pPr>
        <w:rPr>
          <w:rFonts w:cs="Arial"/>
        </w:rPr>
      </w:pPr>
    </w:p>
    <w:p w:rsidR="00E65848" w:rsidRDefault="00E65848">
      <w:pPr>
        <w:rPr>
          <w:rFonts w:cs="Arial"/>
        </w:rPr>
      </w:pPr>
    </w:p>
    <w:p w:rsidR="00E65848" w:rsidRDefault="00E65848">
      <w:pPr>
        <w:rPr>
          <w:rFonts w:cs="Arial"/>
        </w:rPr>
      </w:pPr>
      <w:r>
        <w:rPr>
          <w:rFonts w:cs="Arial"/>
        </w:rPr>
        <w:t>[END]</w:t>
      </w:r>
    </w:p>
    <w:p w:rsidR="00E65848" w:rsidRDefault="00E65848">
      <w:pPr>
        <w:rPr>
          <w:rFonts w:cs="Arial"/>
        </w:rPr>
      </w:pPr>
    </w:p>
    <w:p w:rsidR="00E65848" w:rsidRDefault="00E65848">
      <w:pPr>
        <w:rPr>
          <w:rFonts w:cs="Arial"/>
        </w:rPr>
      </w:pPr>
    </w:p>
    <w:p w:rsidR="00E65848" w:rsidRDefault="00E65848">
      <w:pPr>
        <w:rPr>
          <w:rFonts w:cs="Arial"/>
        </w:rPr>
      </w:pPr>
    </w:p>
    <w:p w:rsidR="00057295" w:rsidRDefault="00057295">
      <w:pPr>
        <w:rPr>
          <w:rFonts w:cs="Arial"/>
        </w:rPr>
      </w:pPr>
      <w:r>
        <w:rPr>
          <w:rFonts w:cs="Arial"/>
        </w:rPr>
        <w:br w:type="page"/>
      </w:r>
    </w:p>
    <w:p w:rsidR="00E65848" w:rsidRDefault="00E65848">
      <w:pPr>
        <w:rPr>
          <w:rFonts w:cs="Arial"/>
        </w:rPr>
      </w:pPr>
      <w:r>
        <w:rPr>
          <w:rFonts w:cs="Arial"/>
          <w:b/>
          <w:u w:val="single"/>
        </w:rPr>
        <w:lastRenderedPageBreak/>
        <w:t>Dastardly High-Roller</w:t>
      </w:r>
    </w:p>
    <w:p w:rsidR="00E65848" w:rsidRDefault="00E65848">
      <w:pPr>
        <w:rPr>
          <w:rFonts w:cs="Arial"/>
        </w:rPr>
      </w:pPr>
      <w:r>
        <w:rPr>
          <w:rFonts w:cs="Arial"/>
          <w:i/>
        </w:rPr>
        <w:t>Case Reference</w:t>
      </w:r>
      <w:r>
        <w:rPr>
          <w:rFonts w:cs="Arial"/>
        </w:rPr>
        <w:t xml:space="preserve">: </w:t>
      </w:r>
      <w:proofErr w:type="spellStart"/>
      <w:r w:rsidR="009452D4">
        <w:rPr>
          <w:rFonts w:cs="Arial"/>
        </w:rPr>
        <w:t>Jaben</w:t>
      </w:r>
      <w:proofErr w:type="spellEnd"/>
      <w:r w:rsidR="009452D4">
        <w:rPr>
          <w:rFonts w:cs="Arial"/>
        </w:rPr>
        <w:t xml:space="preserve"> v. United States, 381 U.S. 214 (1965); </w:t>
      </w:r>
      <w:r>
        <w:rPr>
          <w:rFonts w:cs="Arial"/>
        </w:rPr>
        <w:t>United States v. Yip, 248</w:t>
      </w:r>
      <w:r w:rsidR="00CC2616">
        <w:rPr>
          <w:rFonts w:cs="Arial"/>
        </w:rPr>
        <w:t xml:space="preserve"> F. Supp. 2d 970 (D. Haw. 2003); United States v. </w:t>
      </w:r>
      <w:proofErr w:type="spellStart"/>
      <w:r w:rsidR="00CC2616">
        <w:rPr>
          <w:rFonts w:cs="Arial"/>
        </w:rPr>
        <w:t>Bardina</w:t>
      </w:r>
      <w:proofErr w:type="spellEnd"/>
      <w:r w:rsidR="00CC2616">
        <w:rPr>
          <w:rFonts w:cs="Arial"/>
        </w:rPr>
        <w:t>, 365 F. Supp. 459 (S.D.N.Y. 1973).</w:t>
      </w:r>
    </w:p>
    <w:p w:rsidR="00C604A1" w:rsidRDefault="00C604A1">
      <w:pPr>
        <w:rPr>
          <w:rFonts w:cs="Arial"/>
        </w:rPr>
      </w:pPr>
    </w:p>
    <w:p w:rsidR="00C604A1" w:rsidRDefault="00C604A1"/>
    <w:p w:rsidR="00C604A1" w:rsidRDefault="00C604A1"/>
    <w:p w:rsidR="00C604A1" w:rsidRDefault="00C604A1">
      <w:r>
        <w:rPr>
          <w:b/>
        </w:rPr>
        <w:t>Junior Federal Prosecutor:</w:t>
      </w:r>
      <w:r>
        <w:t xml:space="preserve"> Sir, we finally have enough evidence to put Mr. </w:t>
      </w:r>
      <w:proofErr w:type="spellStart"/>
      <w:r>
        <w:t>Fatcat</w:t>
      </w:r>
      <w:proofErr w:type="spellEnd"/>
      <w:r>
        <w:t xml:space="preserve"> away. The other guys couldn’t get him on all his </w:t>
      </w:r>
      <w:r>
        <w:rPr>
          <w:i/>
        </w:rPr>
        <w:t>alleged</w:t>
      </w:r>
      <w:r>
        <w:t xml:space="preserve"> crimes</w:t>
      </w:r>
      <w:r w:rsidR="00D82132">
        <w:t xml:space="preserve"> and crooked financial dealings</w:t>
      </w:r>
      <w:r>
        <w:t xml:space="preserve">, but we’ve </w:t>
      </w:r>
      <w:r w:rsidR="009452D4">
        <w:t xml:space="preserve">pretty much </w:t>
      </w:r>
      <w:r>
        <w:t>got him on falsely understating his income.</w:t>
      </w:r>
      <w:r w:rsidR="00D82132">
        <w:t xml:space="preserve"> </w:t>
      </w:r>
      <w:r w:rsidR="009452D4">
        <w:t>We’ll be ready</w:t>
      </w:r>
      <w:r w:rsidR="00D82132">
        <w:t xml:space="preserve"> to file a complaint charging the crime </w:t>
      </w:r>
      <w:r w:rsidR="009452D4">
        <w:t>within a month</w:t>
      </w:r>
      <w:r w:rsidR="00AD0300">
        <w:t>.</w:t>
      </w:r>
    </w:p>
    <w:p w:rsidR="00C604A1" w:rsidRDefault="00C604A1"/>
    <w:p w:rsidR="00C604A1" w:rsidRDefault="00C604A1">
      <w:r>
        <w:rPr>
          <w:b/>
        </w:rPr>
        <w:t>Senior Federal Prosecutor:</w:t>
      </w:r>
      <w:r>
        <w:t xml:space="preserve"> Great! How long have we been tracking him?</w:t>
      </w:r>
    </w:p>
    <w:p w:rsidR="00C604A1" w:rsidRDefault="00C604A1"/>
    <w:p w:rsidR="00C604A1" w:rsidRDefault="00C604A1">
      <w:r>
        <w:rPr>
          <w:b/>
        </w:rPr>
        <w:t>Junior:</w:t>
      </w:r>
      <w:r>
        <w:t xml:space="preserve"> Years and years.</w:t>
      </w:r>
    </w:p>
    <w:p w:rsidR="00C604A1" w:rsidRDefault="00C604A1"/>
    <w:p w:rsidR="00C604A1" w:rsidRDefault="00C604A1">
      <w:r>
        <w:rPr>
          <w:b/>
        </w:rPr>
        <w:t>Senior:</w:t>
      </w:r>
      <w:r w:rsidR="00AD0300">
        <w:t xml:space="preserve"> Yes, quite, quite</w:t>
      </w:r>
      <w:r>
        <w:t xml:space="preserve">. </w:t>
      </w:r>
      <w:r w:rsidR="00AD0300">
        <w:t>How many exactly?</w:t>
      </w:r>
    </w:p>
    <w:p w:rsidR="00AD0300" w:rsidRDefault="00AD0300"/>
    <w:p w:rsidR="00AD0300" w:rsidRDefault="00AD0300">
      <w:r>
        <w:rPr>
          <w:b/>
        </w:rPr>
        <w:t>Junior:</w:t>
      </w:r>
      <w:r>
        <w:t xml:space="preserve"> Oh, seven or eight. Since long before I joined up.</w:t>
      </w:r>
    </w:p>
    <w:p w:rsidR="00AD0300" w:rsidRDefault="00AD0300"/>
    <w:p w:rsidR="00AD0300" w:rsidRDefault="00AD0300">
      <w:r>
        <w:rPr>
          <w:b/>
        </w:rPr>
        <w:t>Senior:</w:t>
      </w:r>
      <w:r>
        <w:t xml:space="preserve"> Are we fine on the statute of limitations?</w:t>
      </w:r>
    </w:p>
    <w:p w:rsidR="00AD0300" w:rsidRDefault="00AD0300"/>
    <w:p w:rsidR="00AD0300" w:rsidRDefault="00AD0300">
      <w:r>
        <w:rPr>
          <w:b/>
        </w:rPr>
        <w:t>Junior:</w:t>
      </w:r>
      <w:r>
        <w:t xml:space="preserve"> *blanching* I’m…not sure.</w:t>
      </w:r>
    </w:p>
    <w:p w:rsidR="00AD0300" w:rsidRDefault="00AD0300"/>
    <w:p w:rsidR="00AD0300" w:rsidRDefault="00AD0300">
      <w:r>
        <w:rPr>
          <w:b/>
        </w:rPr>
        <w:t>Senior:</w:t>
      </w:r>
      <w:r>
        <w:t xml:space="preserve"> Let me see the case file. *ruffles papers* </w:t>
      </w:r>
      <w:proofErr w:type="gramStart"/>
      <w:r>
        <w:t>The</w:t>
      </w:r>
      <w:proofErr w:type="gramEnd"/>
      <w:r>
        <w:t xml:space="preserve"> statute of limitations on false returns is six years, you know.</w:t>
      </w:r>
      <w:r w:rsidR="00D82132">
        <w:t xml:space="preserve"> *more ruffling* There we a</w:t>
      </w:r>
      <w:r w:rsidR="009E1019">
        <w:t>re. He filed the return on April 1</w:t>
      </w:r>
      <w:r w:rsidR="009E1019" w:rsidRPr="009E1019">
        <w:rPr>
          <w:vertAlign w:val="superscript"/>
        </w:rPr>
        <w:t>st</w:t>
      </w:r>
      <w:r w:rsidR="009E1019">
        <w:t>, 2007, so the statute began to run two weeks later, when the return was due to be filed. Today is March 10</w:t>
      </w:r>
      <w:r w:rsidR="009E1019" w:rsidRPr="009E1019">
        <w:rPr>
          <w:vertAlign w:val="superscript"/>
        </w:rPr>
        <w:t>th</w:t>
      </w:r>
      <w:r w:rsidR="009E1019">
        <w:t>, so we’re almost eight years away</w:t>
      </w:r>
    </w:p>
    <w:p w:rsidR="009E1019" w:rsidRDefault="009E1019"/>
    <w:p w:rsidR="009E1019" w:rsidRDefault="009E1019">
      <w:r>
        <w:rPr>
          <w:b/>
        </w:rPr>
        <w:t>Junior:</w:t>
      </w:r>
      <w:r>
        <w:t xml:space="preserve"> Does this mean he’ll get away scot free?</w:t>
      </w:r>
    </w:p>
    <w:p w:rsidR="009E1019" w:rsidRDefault="009E1019"/>
    <w:p w:rsidR="009E1019" w:rsidRDefault="009E1019">
      <w:r>
        <w:rPr>
          <w:b/>
        </w:rPr>
        <w:t>Senior:</w:t>
      </w:r>
      <w:r>
        <w:t xml:space="preserve"> Not necessarily. See, he’s been out of the country quite a bit. The statute is tolled when he is outside the United States or a fugitive from justice.</w:t>
      </w:r>
      <w:r w:rsidR="00CC2616">
        <w:t xml:space="preserve"> *brief pause, Senior looking at paper* Looks like Mr. </w:t>
      </w:r>
      <w:proofErr w:type="spellStart"/>
      <w:r w:rsidR="00CC2616">
        <w:t>Fatcat</w:t>
      </w:r>
      <w:proofErr w:type="spellEnd"/>
      <w:r w:rsidR="00CC2616">
        <w:t xml:space="preserve"> has been enjoying the worldly pleasures of the Mediterranean and Caribbean quite a bit. </w:t>
      </w:r>
      <w:proofErr w:type="gramStart"/>
      <w:r w:rsidR="00CC2616">
        <w:t>A year’s stay on Malta and a year on Dominica.</w:t>
      </w:r>
      <w:proofErr w:type="gramEnd"/>
      <w:r w:rsidR="00CC2616">
        <w:t xml:space="preserve"> </w:t>
      </w:r>
      <w:proofErr w:type="gramStart"/>
      <w:r w:rsidR="00CC2616">
        <w:t xml:space="preserve">Which means you’ve got until </w:t>
      </w:r>
      <w:r w:rsidR="00607744">
        <w:t>April 15</w:t>
      </w:r>
      <w:r w:rsidR="00607744" w:rsidRPr="00607744">
        <w:rPr>
          <w:vertAlign w:val="superscript"/>
        </w:rPr>
        <w:t>th</w:t>
      </w:r>
      <w:r w:rsidR="00607744">
        <w:t xml:space="preserve"> to get him charged.</w:t>
      </w:r>
      <w:proofErr w:type="gramEnd"/>
    </w:p>
    <w:p w:rsidR="00607744" w:rsidRDefault="00607744"/>
    <w:p w:rsidR="00607744" w:rsidRDefault="00607744">
      <w:r>
        <w:rPr>
          <w:b/>
        </w:rPr>
        <w:t>Junior:</w:t>
      </w:r>
      <w:r>
        <w:t xml:space="preserve"> But he also spent a year on Puerto Rico, and the Code specifies that the “United States” means only the states and D.C. Doesn’t this give us an extra year to get the indictment?</w:t>
      </w:r>
    </w:p>
    <w:p w:rsidR="00607744" w:rsidRDefault="00607744"/>
    <w:p w:rsidR="00607744" w:rsidRDefault="00607744">
      <w:r>
        <w:rPr>
          <w:b/>
        </w:rPr>
        <w:t>Senior:</w:t>
      </w:r>
      <w:r>
        <w:t xml:space="preserve"> There was a case some years back, when I was a young lad. </w:t>
      </w:r>
      <w:proofErr w:type="spellStart"/>
      <w:r w:rsidR="00AE5E17">
        <w:rPr>
          <w:i/>
        </w:rPr>
        <w:t>Barde</w:t>
      </w:r>
      <w:r w:rsidR="00AE5E17">
        <w:rPr>
          <w:rFonts w:cs="Arial"/>
          <w:i/>
        </w:rPr>
        <w:t>ñ</w:t>
      </w:r>
      <w:r w:rsidR="00AE5E17">
        <w:rPr>
          <w:i/>
        </w:rPr>
        <w:t>a</w:t>
      </w:r>
      <w:proofErr w:type="spellEnd"/>
      <w:r w:rsidR="00AE5E17">
        <w:t xml:space="preserve">…no! </w:t>
      </w:r>
      <w:proofErr w:type="spellStart"/>
      <w:r w:rsidR="00AE5E17">
        <w:rPr>
          <w:i/>
        </w:rPr>
        <w:t>Bardina</w:t>
      </w:r>
      <w:proofErr w:type="spellEnd"/>
      <w:r w:rsidR="00AE5E17">
        <w:t xml:space="preserve"> it was. It held that U.S. possessions, and Puerto Rico in particular, are considered part of the United States for purposes of tolling the statute of limitations. Sorry, </w:t>
      </w:r>
      <w:proofErr w:type="gramStart"/>
      <w:r w:rsidR="00AE5E17">
        <w:t>Junior</w:t>
      </w:r>
      <w:proofErr w:type="gramEnd"/>
      <w:r w:rsidR="00AE5E17">
        <w:t>, you’ve only got until April 15</w:t>
      </w:r>
      <w:r w:rsidR="00AE5E17" w:rsidRPr="00AE5E17">
        <w:rPr>
          <w:vertAlign w:val="superscript"/>
        </w:rPr>
        <w:t>th</w:t>
      </w:r>
      <w:r w:rsidR="00AE5E17">
        <w:t>.</w:t>
      </w:r>
    </w:p>
    <w:p w:rsidR="00AE5E17" w:rsidRDefault="00AE5E17"/>
    <w:p w:rsidR="00AE5E17" w:rsidRDefault="00AE5E17">
      <w:r>
        <w:rPr>
          <w:b/>
        </w:rPr>
        <w:t>Junior:</w:t>
      </w:r>
      <w:r>
        <w:t xml:space="preserve"> But, sir, we</w:t>
      </w:r>
      <w:r w:rsidR="009452D4">
        <w:t>’re grossly understaffed right now. We</w:t>
      </w:r>
      <w:r>
        <w:t xml:space="preserve"> won’t be able to get a</w:t>
      </w:r>
      <w:r w:rsidR="009452D4">
        <w:t>n indictment issued so quickly!</w:t>
      </w:r>
    </w:p>
    <w:p w:rsidR="00AE5E17" w:rsidRDefault="00AE5E17"/>
    <w:p w:rsidR="00AE5E17" w:rsidRDefault="00AE5E17">
      <w:r>
        <w:rPr>
          <w:b/>
        </w:rPr>
        <w:t>Senior:</w:t>
      </w:r>
      <w:r>
        <w:t xml:space="preserve"> Relax, Junior. As long as you file the complaint before mid-April, you’ll get the statute of limitations extended by another nine months. That shou</w:t>
      </w:r>
      <w:r w:rsidR="009452D4">
        <w:t>ld be enough time.</w:t>
      </w:r>
    </w:p>
    <w:p w:rsidR="009452D4" w:rsidRDefault="009452D4"/>
    <w:p w:rsidR="009452D4" w:rsidRDefault="009452D4">
      <w:r>
        <w:rPr>
          <w:b/>
        </w:rPr>
        <w:t>Junior:</w:t>
      </w:r>
      <w:r>
        <w:t xml:space="preserve"> Good! It’ll be a relief to get this dastardly high-roller put away.</w:t>
      </w:r>
    </w:p>
    <w:p w:rsidR="009452D4" w:rsidRDefault="009452D4"/>
    <w:p w:rsidR="009452D4" w:rsidRDefault="009452D4">
      <w:r>
        <w:rPr>
          <w:b/>
        </w:rPr>
        <w:t>Senior:</w:t>
      </w:r>
      <w:r>
        <w:t xml:space="preserve"> That it will, that it will.</w:t>
      </w:r>
    </w:p>
    <w:p w:rsidR="00D613F3" w:rsidRDefault="00D613F3"/>
    <w:p w:rsidR="00D613F3" w:rsidRDefault="00D613F3"/>
    <w:p w:rsidR="00D613F3" w:rsidRPr="009452D4" w:rsidRDefault="00D613F3">
      <w:r>
        <w:t>[END]</w:t>
      </w:r>
    </w:p>
    <w:sectPr w:rsidR="00D613F3" w:rsidRPr="009452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12" w:rsidRDefault="00F50512" w:rsidP="00F50512">
      <w:pPr>
        <w:spacing w:line="240" w:lineRule="auto"/>
      </w:pPr>
      <w:r>
        <w:separator/>
      </w:r>
    </w:p>
  </w:endnote>
  <w:endnote w:type="continuationSeparator" w:id="0">
    <w:p w:rsidR="00F50512" w:rsidRDefault="00F50512" w:rsidP="00F5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12" w:rsidRDefault="00F50512" w:rsidP="00F50512">
      <w:pPr>
        <w:spacing w:line="240" w:lineRule="auto"/>
      </w:pPr>
      <w:r>
        <w:separator/>
      </w:r>
    </w:p>
  </w:footnote>
  <w:footnote w:type="continuationSeparator" w:id="0">
    <w:p w:rsidR="00F50512" w:rsidRDefault="00F50512" w:rsidP="00F5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12" w:rsidRDefault="00F50512" w:rsidP="00F50512">
    <w:pPr>
      <w:jc w:val="center"/>
      <w:rPr>
        <w:rFonts w:cs="Arial"/>
        <w:b/>
      </w:rPr>
    </w:pPr>
    <w:r>
      <w:rPr>
        <w:rFonts w:cs="Arial"/>
        <w:b/>
      </w:rPr>
      <w:t>J. EDGAR MURDOCK INN OF COURT</w:t>
    </w:r>
  </w:p>
  <w:p w:rsidR="00F50512" w:rsidRPr="00F50512" w:rsidRDefault="00F50512" w:rsidP="00F50512">
    <w:pPr>
      <w:pStyle w:val="Header"/>
      <w:jc w:val="center"/>
      <w:rPr>
        <w:b/>
      </w:rPr>
    </w:pPr>
    <w:r w:rsidRPr="00F50512">
      <w:rPr>
        <w:b/>
      </w:rPr>
      <w:t>March</w:t>
    </w:r>
    <w:r w:rsidRPr="00F50512">
      <w:rPr>
        <w:b/>
      </w:rPr>
      <w:t xml:space="preserve"> 2015</w:t>
    </w:r>
    <w:r w:rsidRPr="00F50512">
      <w:rPr>
        <w:b/>
      </w:rPr>
      <w:t xml:space="preserve"> – Statute of Limitations on Criminal Prosecutions </w:t>
    </w:r>
    <w:r w:rsidRPr="00F50512">
      <w:rPr>
        <w:b/>
      </w:rPr>
      <w:t>(</w:t>
    </w:r>
    <w:r w:rsidRPr="00F50512">
      <w:rPr>
        <w:b/>
      </w:rPr>
      <w:t>Section 6531</w:t>
    </w:r>
    <w:r w:rsidRPr="00F50512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21D7"/>
    <w:multiLevelType w:val="hybridMultilevel"/>
    <w:tmpl w:val="C108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C3"/>
    <w:rsid w:val="000001C3"/>
    <w:rsid w:val="000110D8"/>
    <w:rsid w:val="000278FC"/>
    <w:rsid w:val="00057295"/>
    <w:rsid w:val="00070C4E"/>
    <w:rsid w:val="0008303B"/>
    <w:rsid w:val="00083B08"/>
    <w:rsid w:val="0009067A"/>
    <w:rsid w:val="00094FDC"/>
    <w:rsid w:val="000D1C39"/>
    <w:rsid w:val="00113D21"/>
    <w:rsid w:val="00183440"/>
    <w:rsid w:val="001A5F8D"/>
    <w:rsid w:val="00204FEE"/>
    <w:rsid w:val="00222292"/>
    <w:rsid w:val="00256A33"/>
    <w:rsid w:val="002639D1"/>
    <w:rsid w:val="002760D5"/>
    <w:rsid w:val="002A67FC"/>
    <w:rsid w:val="002B6F79"/>
    <w:rsid w:val="002C1898"/>
    <w:rsid w:val="002F3D62"/>
    <w:rsid w:val="002F7F4A"/>
    <w:rsid w:val="00331B26"/>
    <w:rsid w:val="00355B20"/>
    <w:rsid w:val="0035713B"/>
    <w:rsid w:val="00360900"/>
    <w:rsid w:val="00361DE4"/>
    <w:rsid w:val="003916CF"/>
    <w:rsid w:val="003B1778"/>
    <w:rsid w:val="003D5B80"/>
    <w:rsid w:val="00426938"/>
    <w:rsid w:val="0044126C"/>
    <w:rsid w:val="00444266"/>
    <w:rsid w:val="00495C2E"/>
    <w:rsid w:val="0051165D"/>
    <w:rsid w:val="0051358A"/>
    <w:rsid w:val="00536697"/>
    <w:rsid w:val="005531B8"/>
    <w:rsid w:val="00574D5A"/>
    <w:rsid w:val="005D432A"/>
    <w:rsid w:val="00607744"/>
    <w:rsid w:val="00614164"/>
    <w:rsid w:val="00682F70"/>
    <w:rsid w:val="00702986"/>
    <w:rsid w:val="00740890"/>
    <w:rsid w:val="00845B22"/>
    <w:rsid w:val="00874610"/>
    <w:rsid w:val="00877304"/>
    <w:rsid w:val="008917A7"/>
    <w:rsid w:val="008C0C2A"/>
    <w:rsid w:val="008E2F0B"/>
    <w:rsid w:val="008F5500"/>
    <w:rsid w:val="009213F7"/>
    <w:rsid w:val="009452D4"/>
    <w:rsid w:val="00953027"/>
    <w:rsid w:val="00961B80"/>
    <w:rsid w:val="00990FF4"/>
    <w:rsid w:val="0099708E"/>
    <w:rsid w:val="009A0EBF"/>
    <w:rsid w:val="009E1019"/>
    <w:rsid w:val="00A2463B"/>
    <w:rsid w:val="00A402F6"/>
    <w:rsid w:val="00A540FC"/>
    <w:rsid w:val="00A87A13"/>
    <w:rsid w:val="00A9777D"/>
    <w:rsid w:val="00AD0300"/>
    <w:rsid w:val="00AD052E"/>
    <w:rsid w:val="00AE5E17"/>
    <w:rsid w:val="00B3468A"/>
    <w:rsid w:val="00B64EDA"/>
    <w:rsid w:val="00BD29F6"/>
    <w:rsid w:val="00C127F5"/>
    <w:rsid w:val="00C27892"/>
    <w:rsid w:val="00C3646B"/>
    <w:rsid w:val="00C604A1"/>
    <w:rsid w:val="00CC2616"/>
    <w:rsid w:val="00CD5579"/>
    <w:rsid w:val="00D00A2E"/>
    <w:rsid w:val="00D02C00"/>
    <w:rsid w:val="00D075BC"/>
    <w:rsid w:val="00D324E8"/>
    <w:rsid w:val="00D359AF"/>
    <w:rsid w:val="00D417FA"/>
    <w:rsid w:val="00D532D3"/>
    <w:rsid w:val="00D613F3"/>
    <w:rsid w:val="00D8079E"/>
    <w:rsid w:val="00D82132"/>
    <w:rsid w:val="00D965DE"/>
    <w:rsid w:val="00DB021B"/>
    <w:rsid w:val="00DC7F13"/>
    <w:rsid w:val="00E16D2C"/>
    <w:rsid w:val="00E270C3"/>
    <w:rsid w:val="00E65848"/>
    <w:rsid w:val="00EA594A"/>
    <w:rsid w:val="00EE26FE"/>
    <w:rsid w:val="00F01959"/>
    <w:rsid w:val="00F038EE"/>
    <w:rsid w:val="00F37B55"/>
    <w:rsid w:val="00F423F6"/>
    <w:rsid w:val="00F44160"/>
    <w:rsid w:val="00F50512"/>
    <w:rsid w:val="00FA448D"/>
    <w:rsid w:val="00FD3A3B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7892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5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2"/>
  </w:style>
  <w:style w:type="paragraph" w:styleId="Footer">
    <w:name w:val="footer"/>
    <w:basedOn w:val="Normal"/>
    <w:link w:val="FooterChar"/>
    <w:uiPriority w:val="99"/>
    <w:unhideWhenUsed/>
    <w:rsid w:val="00F50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7892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5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2"/>
  </w:style>
  <w:style w:type="paragraph" w:styleId="Footer">
    <w:name w:val="footer"/>
    <w:basedOn w:val="Normal"/>
    <w:link w:val="FooterChar"/>
    <w:uiPriority w:val="99"/>
    <w:unhideWhenUsed/>
    <w:rsid w:val="00F505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Strelka</cp:lastModifiedBy>
  <cp:revision>8</cp:revision>
  <dcterms:created xsi:type="dcterms:W3CDTF">2015-01-29T17:28:00Z</dcterms:created>
  <dcterms:modified xsi:type="dcterms:W3CDTF">2015-03-16T13:27:00Z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gFAA5ajW4yTOEjvp8B1w8ZTwCJ2tC54MDBd0ILPXoaRTg1uWzjXWkmasu+9QfSosvzNW5hKUrrdAKCYu
3acZHmYZl4ZyFlTFLyMwiKZSXqIwTEv/qzycBb/SM3svFD60B+DATB799T/TGM8z7l9anaeD68z2
SMX8ySSSS94I/2eQIYlkehmsuOPRJDgaxL2wHA3+emy6Qy/ltPQwTTXGzXa/zV4uBY06KjFy/QYO
j/dYh/+BMVi+qWo0Y</vt:lpwstr>
  </property>
  <property fmtid="{D5CDD505-2E9C-101B-9397-08002B2CF9AE}" pid="4" name="MAIL_MSG_ID2">
    <vt:lpwstr>dhecpqgHBGs6paIwSPcaH2bz3y7/HkywFSgKMOP0BO7O18JfTwmZDd7uMxy
afP8IyS6QHr08EOn63Da+dGGyqHuxrRnHCjn6A==</vt:lpwstr>
  </property>
  <property fmtid="{D5CDD505-2E9C-101B-9397-08002B2CF9AE}" pid="5" name="RESPONSE_SENDER_NAME">
    <vt:lpwstr>4AAAMz5NUQ6P8J8kgbcI1/F8yA2OrOpCaqdQLAAXCpeXPZtOx5OX1GIeWg==</vt:lpwstr>
  </property>
  <property fmtid="{D5CDD505-2E9C-101B-9397-08002B2CF9AE}" pid="6" name="EMAIL_OWNER_ADDRESS">
    <vt:lpwstr>4AAA6DouqOs9baH7bSw5GmLzuMeDv68XSwSp8A6Ymht1tn3llZyvXSIfMA==</vt:lpwstr>
  </property>
</Properties>
</file>