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8B1" w:rsidRPr="008208B1" w:rsidRDefault="008208B1" w:rsidP="008208B1">
      <w:pPr>
        <w:spacing w:after="0" w:line="240" w:lineRule="auto"/>
        <w:jc w:val="center"/>
        <w:rPr>
          <w:rFonts w:ascii="Calibri" w:hAnsi="Calibri" w:cs="Calibri"/>
          <w:b/>
          <w:sz w:val="28"/>
          <w:szCs w:val="28"/>
        </w:rPr>
      </w:pPr>
      <w:r w:rsidRPr="008208B1">
        <w:rPr>
          <w:rFonts w:ascii="Calibri" w:hAnsi="Calibri" w:cs="Calibri"/>
          <w:b/>
          <w:sz w:val="28"/>
          <w:szCs w:val="28"/>
        </w:rPr>
        <w:t>Rich Inn of Court</w:t>
      </w:r>
    </w:p>
    <w:p w:rsidR="008208B1" w:rsidRPr="008208B1" w:rsidRDefault="008208B1" w:rsidP="008208B1">
      <w:pPr>
        <w:spacing w:after="0" w:line="240" w:lineRule="auto"/>
        <w:jc w:val="center"/>
        <w:rPr>
          <w:rFonts w:ascii="Calibri" w:hAnsi="Calibri" w:cs="Calibri"/>
          <w:b/>
          <w:sz w:val="28"/>
          <w:szCs w:val="28"/>
        </w:rPr>
      </w:pPr>
      <w:r w:rsidRPr="008208B1">
        <w:rPr>
          <w:rFonts w:ascii="Calibri" w:hAnsi="Calibri" w:cs="Calibri"/>
          <w:b/>
          <w:sz w:val="28"/>
          <w:szCs w:val="28"/>
        </w:rPr>
        <w:t>Program 1: Patent Trial and Appeal Board</w:t>
      </w:r>
    </w:p>
    <w:p w:rsidR="008208B1" w:rsidRPr="008208B1" w:rsidRDefault="008208B1" w:rsidP="008208B1">
      <w:pPr>
        <w:spacing w:after="0" w:line="240" w:lineRule="auto"/>
        <w:jc w:val="center"/>
        <w:rPr>
          <w:rFonts w:ascii="Calibri" w:hAnsi="Calibri" w:cs="Calibri"/>
          <w:b/>
          <w:sz w:val="28"/>
          <w:szCs w:val="28"/>
        </w:rPr>
      </w:pPr>
      <w:r w:rsidRPr="008208B1">
        <w:rPr>
          <w:rFonts w:ascii="Calibri" w:hAnsi="Calibri" w:cs="Calibri"/>
          <w:b/>
          <w:sz w:val="28"/>
          <w:szCs w:val="28"/>
        </w:rPr>
        <w:t>September 16, 2015</w:t>
      </w:r>
    </w:p>
    <w:p w:rsidR="008208B1" w:rsidRPr="008208B1" w:rsidRDefault="008208B1" w:rsidP="008208B1">
      <w:pPr>
        <w:spacing w:after="0" w:line="240" w:lineRule="auto"/>
        <w:jc w:val="center"/>
        <w:rPr>
          <w:rFonts w:ascii="Calibri" w:hAnsi="Calibri" w:cs="Calibri"/>
          <w:b/>
          <w:sz w:val="28"/>
          <w:szCs w:val="28"/>
        </w:rPr>
      </w:pPr>
    </w:p>
    <w:p w:rsidR="008208B1" w:rsidRPr="00B747AD" w:rsidRDefault="00B747AD" w:rsidP="00B747AD">
      <w:pPr>
        <w:jc w:val="center"/>
        <w:rPr>
          <w:rFonts w:cstheme="minorHAnsi"/>
          <w:b/>
        </w:rPr>
      </w:pPr>
      <w:r>
        <w:rPr>
          <w:rFonts w:cstheme="minorHAnsi"/>
          <w:b/>
        </w:rPr>
        <w:t>AGENDA</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4050"/>
        <w:gridCol w:w="4248"/>
      </w:tblGrid>
      <w:tr w:rsidR="00206C9B" w:rsidRPr="00206C9B" w:rsidTr="008208B1">
        <w:tc>
          <w:tcPr>
            <w:tcW w:w="1278" w:type="dxa"/>
            <w:hideMark/>
          </w:tcPr>
          <w:p w:rsidR="008208B1" w:rsidRPr="00206C9B" w:rsidRDefault="008208B1" w:rsidP="008208B1">
            <w:pPr>
              <w:rPr>
                <w:rFonts w:asciiTheme="minorHAnsi" w:hAnsiTheme="minorHAnsi" w:cstheme="minorHAnsi"/>
                <w:b/>
                <w:u w:val="single"/>
              </w:rPr>
            </w:pPr>
            <w:r w:rsidRPr="00206C9B">
              <w:rPr>
                <w:rFonts w:asciiTheme="minorHAnsi" w:hAnsiTheme="minorHAnsi" w:cstheme="minorHAnsi"/>
                <w:b/>
                <w:u w:val="single"/>
              </w:rPr>
              <w:t>Time</w:t>
            </w:r>
          </w:p>
        </w:tc>
        <w:tc>
          <w:tcPr>
            <w:tcW w:w="4050" w:type="dxa"/>
            <w:hideMark/>
          </w:tcPr>
          <w:p w:rsidR="008208B1" w:rsidRPr="00206C9B" w:rsidRDefault="008208B1" w:rsidP="008208B1">
            <w:pPr>
              <w:rPr>
                <w:rFonts w:asciiTheme="minorHAnsi" w:hAnsiTheme="minorHAnsi" w:cstheme="minorHAnsi"/>
                <w:b/>
                <w:u w:val="single"/>
              </w:rPr>
            </w:pPr>
            <w:r w:rsidRPr="00206C9B">
              <w:rPr>
                <w:rFonts w:asciiTheme="minorHAnsi" w:hAnsiTheme="minorHAnsi" w:cstheme="minorHAnsi"/>
                <w:b/>
                <w:u w:val="single"/>
              </w:rPr>
              <w:t>Topic</w:t>
            </w:r>
          </w:p>
        </w:tc>
        <w:tc>
          <w:tcPr>
            <w:tcW w:w="4248" w:type="dxa"/>
            <w:hideMark/>
          </w:tcPr>
          <w:p w:rsidR="008208B1" w:rsidRPr="00206C9B" w:rsidRDefault="008208B1" w:rsidP="008208B1">
            <w:pPr>
              <w:rPr>
                <w:rFonts w:asciiTheme="minorHAnsi" w:hAnsiTheme="minorHAnsi" w:cstheme="minorHAnsi"/>
                <w:b/>
                <w:u w:val="single"/>
              </w:rPr>
            </w:pPr>
            <w:r w:rsidRPr="00206C9B">
              <w:rPr>
                <w:rFonts w:asciiTheme="minorHAnsi" w:hAnsiTheme="minorHAnsi" w:cstheme="minorHAnsi"/>
                <w:b/>
                <w:u w:val="single"/>
              </w:rPr>
              <w:t>Speaker</w:t>
            </w:r>
          </w:p>
          <w:p w:rsidR="008208B1" w:rsidRPr="00206C9B" w:rsidRDefault="008208B1" w:rsidP="008208B1">
            <w:pPr>
              <w:rPr>
                <w:rFonts w:asciiTheme="minorHAnsi" w:hAnsiTheme="minorHAnsi" w:cstheme="minorHAnsi"/>
                <w:b/>
                <w:u w:val="single"/>
              </w:rPr>
            </w:pPr>
          </w:p>
        </w:tc>
      </w:tr>
      <w:tr w:rsidR="00206C9B" w:rsidRPr="00206C9B" w:rsidTr="008208B1">
        <w:tc>
          <w:tcPr>
            <w:tcW w:w="1278" w:type="dxa"/>
            <w:hideMark/>
          </w:tcPr>
          <w:p w:rsidR="008208B1" w:rsidRPr="00206C9B" w:rsidRDefault="008208B1">
            <w:pPr>
              <w:rPr>
                <w:rFonts w:asciiTheme="minorHAnsi" w:hAnsiTheme="minorHAnsi" w:cstheme="minorHAnsi"/>
              </w:rPr>
            </w:pPr>
            <w:r w:rsidRPr="00206C9B">
              <w:rPr>
                <w:rFonts w:asciiTheme="minorHAnsi" w:hAnsiTheme="minorHAnsi" w:cstheme="minorHAnsi"/>
              </w:rPr>
              <w:t>6:15  pm</w:t>
            </w:r>
          </w:p>
          <w:p w:rsidR="008208B1" w:rsidRPr="00206C9B" w:rsidRDefault="008208B1">
            <w:pPr>
              <w:rPr>
                <w:rFonts w:asciiTheme="minorHAnsi" w:hAnsiTheme="minorHAnsi" w:cstheme="minorHAnsi"/>
              </w:rPr>
            </w:pPr>
          </w:p>
        </w:tc>
        <w:tc>
          <w:tcPr>
            <w:tcW w:w="4050" w:type="dxa"/>
            <w:hideMark/>
          </w:tcPr>
          <w:p w:rsidR="008208B1" w:rsidRPr="00206C9B" w:rsidRDefault="008208B1">
            <w:pPr>
              <w:rPr>
                <w:rFonts w:asciiTheme="minorHAnsi" w:hAnsiTheme="minorHAnsi" w:cstheme="minorHAnsi"/>
              </w:rPr>
            </w:pPr>
            <w:r w:rsidRPr="00206C9B">
              <w:rPr>
                <w:rFonts w:asciiTheme="minorHAnsi" w:hAnsiTheme="minorHAnsi" w:cstheme="minorHAnsi"/>
              </w:rPr>
              <w:t>Welcome</w:t>
            </w:r>
          </w:p>
        </w:tc>
        <w:tc>
          <w:tcPr>
            <w:tcW w:w="4248" w:type="dxa"/>
            <w:hideMark/>
          </w:tcPr>
          <w:p w:rsidR="008208B1" w:rsidRPr="00206C9B" w:rsidRDefault="008208B1" w:rsidP="00206C9B">
            <w:pPr>
              <w:rPr>
                <w:rFonts w:asciiTheme="minorHAnsi" w:hAnsiTheme="minorHAnsi" w:cstheme="minorHAnsi"/>
              </w:rPr>
            </w:pPr>
            <w:r w:rsidRPr="00206C9B">
              <w:rPr>
                <w:rFonts w:asciiTheme="minorHAnsi" w:hAnsiTheme="minorHAnsi" w:cstheme="minorHAnsi"/>
              </w:rPr>
              <w:t xml:space="preserve">Judge Richard Taranto </w:t>
            </w:r>
            <w:r w:rsidRPr="00206C9B">
              <w:rPr>
                <w:rFonts w:asciiTheme="minorHAnsi" w:hAnsiTheme="minorHAnsi" w:cstheme="minorHAnsi"/>
              </w:rPr>
              <w:br/>
            </w:r>
          </w:p>
        </w:tc>
      </w:tr>
      <w:tr w:rsidR="00206C9B" w:rsidRPr="00206C9B" w:rsidTr="008208B1">
        <w:tc>
          <w:tcPr>
            <w:tcW w:w="1278" w:type="dxa"/>
            <w:hideMark/>
          </w:tcPr>
          <w:p w:rsidR="008208B1" w:rsidRPr="00206C9B" w:rsidRDefault="008208B1">
            <w:pPr>
              <w:rPr>
                <w:rFonts w:asciiTheme="minorHAnsi" w:hAnsiTheme="minorHAnsi" w:cstheme="minorHAnsi"/>
              </w:rPr>
            </w:pPr>
            <w:r w:rsidRPr="00206C9B">
              <w:rPr>
                <w:rFonts w:asciiTheme="minorHAnsi" w:hAnsiTheme="minorHAnsi" w:cstheme="minorHAnsi"/>
              </w:rPr>
              <w:t>6:30 pm</w:t>
            </w:r>
          </w:p>
          <w:p w:rsidR="008208B1" w:rsidRPr="00206C9B" w:rsidRDefault="008208B1">
            <w:pPr>
              <w:rPr>
                <w:rFonts w:asciiTheme="minorHAnsi" w:hAnsiTheme="minorHAnsi" w:cstheme="minorHAnsi"/>
              </w:rPr>
            </w:pPr>
          </w:p>
        </w:tc>
        <w:tc>
          <w:tcPr>
            <w:tcW w:w="4050" w:type="dxa"/>
            <w:hideMark/>
          </w:tcPr>
          <w:p w:rsidR="008208B1" w:rsidRPr="00206C9B" w:rsidRDefault="008208B1">
            <w:pPr>
              <w:rPr>
                <w:rFonts w:asciiTheme="minorHAnsi" w:hAnsiTheme="minorHAnsi" w:cstheme="minorHAnsi"/>
              </w:rPr>
            </w:pPr>
            <w:r w:rsidRPr="00206C9B">
              <w:rPr>
                <w:rFonts w:asciiTheme="minorHAnsi" w:hAnsiTheme="minorHAnsi" w:cstheme="minorHAnsi"/>
              </w:rPr>
              <w:t>Program Introduction</w:t>
            </w:r>
          </w:p>
        </w:tc>
        <w:tc>
          <w:tcPr>
            <w:tcW w:w="4248" w:type="dxa"/>
            <w:hideMark/>
          </w:tcPr>
          <w:p w:rsidR="008208B1" w:rsidRPr="00206C9B" w:rsidRDefault="008208B1">
            <w:pPr>
              <w:rPr>
                <w:rFonts w:asciiTheme="minorHAnsi" w:hAnsiTheme="minorHAnsi" w:cstheme="minorHAnsi"/>
              </w:rPr>
            </w:pPr>
            <w:r w:rsidRPr="00206C9B">
              <w:rPr>
                <w:rFonts w:asciiTheme="minorHAnsi" w:hAnsiTheme="minorHAnsi" w:cstheme="minorHAnsi"/>
              </w:rPr>
              <w:t>Janet  Gongola</w:t>
            </w:r>
          </w:p>
          <w:p w:rsidR="008208B1" w:rsidRPr="00206C9B" w:rsidRDefault="008208B1" w:rsidP="00206C9B">
            <w:pPr>
              <w:rPr>
                <w:rFonts w:asciiTheme="minorHAnsi" w:hAnsiTheme="minorHAnsi" w:cstheme="minorHAnsi"/>
              </w:rPr>
            </w:pPr>
          </w:p>
        </w:tc>
      </w:tr>
      <w:tr w:rsidR="00206C9B" w:rsidRPr="00206C9B" w:rsidTr="008208B1">
        <w:tc>
          <w:tcPr>
            <w:tcW w:w="1278" w:type="dxa"/>
            <w:hideMark/>
          </w:tcPr>
          <w:p w:rsidR="008208B1" w:rsidRPr="00206C9B" w:rsidRDefault="008208B1">
            <w:pPr>
              <w:rPr>
                <w:rFonts w:asciiTheme="minorHAnsi" w:hAnsiTheme="minorHAnsi" w:cstheme="minorHAnsi"/>
              </w:rPr>
            </w:pPr>
            <w:r w:rsidRPr="00206C9B">
              <w:rPr>
                <w:rFonts w:asciiTheme="minorHAnsi" w:hAnsiTheme="minorHAnsi" w:cstheme="minorHAnsi"/>
              </w:rPr>
              <w:t>6:35 pm</w:t>
            </w:r>
          </w:p>
          <w:p w:rsidR="008208B1" w:rsidRPr="00206C9B" w:rsidRDefault="008208B1">
            <w:pPr>
              <w:rPr>
                <w:rFonts w:asciiTheme="minorHAnsi" w:hAnsiTheme="minorHAnsi" w:cstheme="minorHAnsi"/>
              </w:rPr>
            </w:pPr>
          </w:p>
        </w:tc>
        <w:tc>
          <w:tcPr>
            <w:tcW w:w="4050" w:type="dxa"/>
            <w:hideMark/>
          </w:tcPr>
          <w:p w:rsidR="008208B1" w:rsidRPr="00206C9B" w:rsidRDefault="008208B1">
            <w:pPr>
              <w:rPr>
                <w:rFonts w:asciiTheme="minorHAnsi" w:hAnsiTheme="minorHAnsi" w:cstheme="minorHAnsi"/>
              </w:rPr>
            </w:pPr>
            <w:r w:rsidRPr="00206C9B">
              <w:rPr>
                <w:rFonts w:asciiTheme="minorHAnsi" w:hAnsiTheme="minorHAnsi" w:cstheme="minorHAnsi"/>
              </w:rPr>
              <w:t>Honored Guest Remarks</w:t>
            </w:r>
          </w:p>
        </w:tc>
        <w:tc>
          <w:tcPr>
            <w:tcW w:w="4248" w:type="dxa"/>
            <w:hideMark/>
          </w:tcPr>
          <w:p w:rsidR="008208B1" w:rsidRPr="00206C9B" w:rsidRDefault="008208B1">
            <w:pPr>
              <w:rPr>
                <w:rFonts w:asciiTheme="minorHAnsi" w:hAnsiTheme="minorHAnsi" w:cstheme="minorHAnsi"/>
              </w:rPr>
            </w:pPr>
            <w:r w:rsidRPr="00206C9B">
              <w:rPr>
                <w:rFonts w:asciiTheme="minorHAnsi" w:hAnsiTheme="minorHAnsi" w:cstheme="minorHAnsi"/>
              </w:rPr>
              <w:t>Russ Slifer</w:t>
            </w:r>
          </w:p>
          <w:p w:rsidR="008208B1" w:rsidRPr="00206C9B" w:rsidRDefault="008208B1" w:rsidP="00206C9B">
            <w:pPr>
              <w:rPr>
                <w:rFonts w:asciiTheme="minorHAnsi" w:hAnsiTheme="minorHAnsi" w:cstheme="minorHAnsi"/>
              </w:rPr>
            </w:pPr>
          </w:p>
        </w:tc>
      </w:tr>
      <w:tr w:rsidR="00206C9B" w:rsidRPr="00206C9B" w:rsidTr="008208B1">
        <w:tc>
          <w:tcPr>
            <w:tcW w:w="1278" w:type="dxa"/>
            <w:hideMark/>
          </w:tcPr>
          <w:p w:rsidR="008208B1" w:rsidRPr="00206C9B" w:rsidRDefault="008208B1">
            <w:pPr>
              <w:rPr>
                <w:rFonts w:asciiTheme="minorHAnsi" w:hAnsiTheme="minorHAnsi" w:cstheme="minorHAnsi"/>
              </w:rPr>
            </w:pPr>
            <w:r w:rsidRPr="00206C9B">
              <w:rPr>
                <w:rFonts w:asciiTheme="minorHAnsi" w:hAnsiTheme="minorHAnsi" w:cstheme="minorHAnsi"/>
              </w:rPr>
              <w:t>6:45 pm</w:t>
            </w:r>
          </w:p>
          <w:p w:rsidR="008208B1" w:rsidRPr="00206C9B" w:rsidRDefault="008208B1">
            <w:pPr>
              <w:rPr>
                <w:rFonts w:asciiTheme="minorHAnsi" w:hAnsiTheme="minorHAnsi" w:cstheme="minorHAnsi"/>
              </w:rPr>
            </w:pPr>
          </w:p>
        </w:tc>
        <w:tc>
          <w:tcPr>
            <w:tcW w:w="4050" w:type="dxa"/>
            <w:hideMark/>
          </w:tcPr>
          <w:p w:rsidR="008208B1" w:rsidRPr="00206C9B" w:rsidRDefault="008208B1" w:rsidP="008208B1">
            <w:pPr>
              <w:rPr>
                <w:rFonts w:asciiTheme="minorHAnsi" w:hAnsiTheme="minorHAnsi" w:cstheme="minorHAnsi"/>
              </w:rPr>
            </w:pPr>
            <w:r w:rsidRPr="00206C9B">
              <w:rPr>
                <w:rFonts w:asciiTheme="minorHAnsi" w:hAnsiTheme="minorHAnsi" w:cstheme="minorHAnsi"/>
              </w:rPr>
              <w:t xml:space="preserve">Discussion of Proposed </w:t>
            </w:r>
            <w:r w:rsidRPr="00206C9B">
              <w:rPr>
                <w:rFonts w:asciiTheme="minorHAnsi" w:hAnsiTheme="minorHAnsi" w:cstheme="minorHAnsi"/>
              </w:rPr>
              <w:br/>
              <w:t>AIA Trial Rules</w:t>
            </w:r>
          </w:p>
        </w:tc>
        <w:tc>
          <w:tcPr>
            <w:tcW w:w="4248" w:type="dxa"/>
            <w:hideMark/>
          </w:tcPr>
          <w:p w:rsidR="008208B1" w:rsidRPr="00206C9B" w:rsidRDefault="008208B1">
            <w:pPr>
              <w:rPr>
                <w:rFonts w:asciiTheme="minorHAnsi" w:hAnsiTheme="minorHAnsi" w:cstheme="minorHAnsi"/>
              </w:rPr>
            </w:pPr>
            <w:r w:rsidRPr="00206C9B">
              <w:rPr>
                <w:rFonts w:asciiTheme="minorHAnsi" w:hAnsiTheme="minorHAnsi" w:cstheme="minorHAnsi"/>
              </w:rPr>
              <w:t>Panelists</w:t>
            </w:r>
          </w:p>
          <w:p w:rsidR="008208B1" w:rsidRPr="00206C9B" w:rsidRDefault="008208B1">
            <w:pPr>
              <w:rPr>
                <w:rFonts w:asciiTheme="minorHAnsi" w:hAnsiTheme="minorHAnsi" w:cstheme="minorHAnsi"/>
              </w:rPr>
            </w:pPr>
          </w:p>
        </w:tc>
      </w:tr>
    </w:tbl>
    <w:p w:rsidR="00206C9B" w:rsidRDefault="00206C9B" w:rsidP="008208B1">
      <w:pPr>
        <w:pBdr>
          <w:bottom w:val="single" w:sz="12" w:space="1" w:color="auto"/>
        </w:pBdr>
        <w:rPr>
          <w:rFonts w:cstheme="minorHAnsi"/>
        </w:rPr>
      </w:pPr>
    </w:p>
    <w:p w:rsidR="008208B1" w:rsidRPr="00206C9B" w:rsidRDefault="00206C9B" w:rsidP="008208B1">
      <w:pPr>
        <w:rPr>
          <w:rFonts w:cstheme="minorHAnsi"/>
          <w:b/>
          <w:u w:val="single"/>
        </w:rPr>
      </w:pPr>
      <w:r w:rsidRPr="00206C9B">
        <w:rPr>
          <w:rFonts w:cstheme="minorHAnsi"/>
          <w:b/>
          <w:u w:val="single"/>
        </w:rPr>
        <w:t>6:45 to 6:50</w:t>
      </w:r>
      <w:r w:rsidRPr="00206C9B">
        <w:rPr>
          <w:rFonts w:cstheme="minorHAnsi"/>
          <w:b/>
        </w:rPr>
        <w:t>: Overview of AIA Rulemaking and Status of Trial Usage—Scott Boalick</w:t>
      </w:r>
    </w:p>
    <w:p w:rsidR="00206C9B" w:rsidRPr="00206C9B" w:rsidRDefault="00206C9B" w:rsidP="00206C9B">
      <w:pPr>
        <w:spacing w:line="240" w:lineRule="auto"/>
        <w:rPr>
          <w:rFonts w:cstheme="minorHAnsi"/>
          <w:b/>
        </w:rPr>
      </w:pPr>
      <w:r w:rsidRPr="00206C9B">
        <w:rPr>
          <w:rFonts w:cstheme="minorHAnsi"/>
          <w:b/>
          <w:u w:val="single"/>
        </w:rPr>
        <w:t>6:50 to 7:00 pm</w:t>
      </w:r>
      <w:r w:rsidRPr="00206C9B">
        <w:rPr>
          <w:rFonts w:cstheme="minorHAnsi"/>
          <w:b/>
        </w:rPr>
        <w:t>: Patent Owner Preliminary Response &amp; New Testimonial Evidence—Steve Baughman</w:t>
      </w:r>
    </w:p>
    <w:p w:rsidR="00206C9B" w:rsidRPr="00206C9B" w:rsidRDefault="00206C9B" w:rsidP="00206C9B">
      <w:pPr>
        <w:spacing w:line="240" w:lineRule="auto"/>
        <w:rPr>
          <w:rFonts w:cstheme="minorHAnsi"/>
        </w:rPr>
      </w:pPr>
      <w:r w:rsidRPr="00206C9B">
        <w:rPr>
          <w:rFonts w:cstheme="minorHAnsi"/>
          <w:i/>
        </w:rPr>
        <w:t>Proposed Rule 42.107(a):</w:t>
      </w:r>
      <w:r w:rsidRPr="00206C9B">
        <w:rPr>
          <w:rFonts w:cstheme="minorHAnsi"/>
        </w:rPr>
        <w:t xml:space="preserve"> The patent owner may file a preliminary response to the petition. The response may set forth the reasons why no </w:t>
      </w:r>
      <w:r w:rsidRPr="00206C9B">
        <w:rPr>
          <w:rFonts w:cstheme="minorHAnsi"/>
          <w:i/>
          <w:iCs/>
        </w:rPr>
        <w:t>inter partes</w:t>
      </w:r>
      <w:r w:rsidRPr="00206C9B">
        <w:rPr>
          <w:rFonts w:cstheme="minorHAnsi"/>
        </w:rPr>
        <w:t xml:space="preserve"> review should be instituted under 35 U.S.C. 314 and can include supporting evidence. The preliminary response is subject to the word count under </w:t>
      </w:r>
      <w:r w:rsidRPr="00206C9B">
        <w:rPr>
          <w:rFonts w:cstheme="minorHAnsi"/>
        </w:rPr>
        <w:br/>
        <w:t>§ 42.24.</w:t>
      </w:r>
      <w:bookmarkStart w:id="0" w:name="_GoBack"/>
      <w:bookmarkEnd w:id="0"/>
    </w:p>
    <w:p w:rsidR="00206C9B" w:rsidRPr="00206C9B" w:rsidRDefault="00206C9B" w:rsidP="00206C9B">
      <w:pPr>
        <w:spacing w:line="240" w:lineRule="auto"/>
        <w:rPr>
          <w:rFonts w:cstheme="minorHAnsi"/>
        </w:rPr>
      </w:pPr>
      <w:r w:rsidRPr="00206C9B">
        <w:rPr>
          <w:rFonts w:cstheme="minorHAnsi"/>
          <w:i/>
        </w:rPr>
        <w:t>Proposed Rule 42.108(c):</w:t>
      </w:r>
      <w:r w:rsidRPr="00206C9B">
        <w:rPr>
          <w:rFonts w:cstheme="minorHAnsi"/>
        </w:rPr>
        <w:t xml:space="preserve"> </w:t>
      </w:r>
      <w:r w:rsidRPr="00206C9B">
        <w:rPr>
          <w:rFonts w:cstheme="minorHAnsi"/>
          <w:i/>
          <w:iCs/>
        </w:rPr>
        <w:t>Inter partes</w:t>
      </w:r>
      <w:r w:rsidRPr="00206C9B">
        <w:rPr>
          <w:rFonts w:cstheme="minorHAnsi"/>
        </w:rPr>
        <w:t xml:space="preserve"> review shall not be instituted for a ground of unpatentability unless the Board decides that the petition supporting the ground would demonstrate that there is a reasonable likelihood that at least one of the claims challenged in the petition is </w:t>
      </w:r>
      <w:proofErr w:type="spellStart"/>
      <w:r w:rsidRPr="00206C9B">
        <w:rPr>
          <w:rFonts w:cstheme="minorHAnsi"/>
        </w:rPr>
        <w:t>unpatentable</w:t>
      </w:r>
      <w:proofErr w:type="spellEnd"/>
      <w:r w:rsidRPr="00206C9B">
        <w:rPr>
          <w:rFonts w:cstheme="minorHAnsi"/>
        </w:rPr>
        <w:t xml:space="preserve">. The Board's decision will take into account a patent owner preliminary response where such a response is filed, but supporting evidence concerning disputed material facts will be viewed in the light most favorable to the petitioner for purposes of deciding whether to institute an </w:t>
      </w:r>
      <w:r w:rsidRPr="00206C9B">
        <w:rPr>
          <w:rFonts w:cstheme="minorHAnsi"/>
          <w:i/>
          <w:iCs/>
        </w:rPr>
        <w:t>inter partes</w:t>
      </w:r>
      <w:r w:rsidRPr="00206C9B">
        <w:rPr>
          <w:rFonts w:cstheme="minorHAnsi"/>
        </w:rPr>
        <w:t xml:space="preserve"> review. If the patent owner submits supporting evidence with its preliminary response, the petitioner may seek leave to file a reply to the preliminary response in accordance with § 42.24(c).</w:t>
      </w:r>
    </w:p>
    <w:p w:rsidR="00206C9B" w:rsidRPr="00206C9B" w:rsidRDefault="00206C9B" w:rsidP="00206C9B">
      <w:pPr>
        <w:rPr>
          <w:rFonts w:cstheme="minorHAnsi"/>
          <w:i/>
          <w:color w:val="1F497D"/>
        </w:rPr>
      </w:pPr>
      <w:r w:rsidRPr="00206C9B">
        <w:rPr>
          <w:rFonts w:cstheme="minorHAnsi"/>
          <w:i/>
          <w:color w:val="1F497D"/>
        </w:rPr>
        <w:t>Discussion Questions:</w:t>
      </w:r>
    </w:p>
    <w:p w:rsidR="00206C9B" w:rsidRDefault="00206C9B" w:rsidP="00206C9B">
      <w:pPr>
        <w:pStyle w:val="ListParagraph"/>
        <w:numPr>
          <w:ilvl w:val="0"/>
          <w:numId w:val="6"/>
        </w:numPr>
        <w:rPr>
          <w:rFonts w:asciiTheme="minorHAnsi" w:hAnsiTheme="minorHAnsi" w:cstheme="minorHAnsi"/>
          <w:color w:val="1F497D"/>
          <w:sz w:val="22"/>
          <w:szCs w:val="22"/>
        </w:rPr>
      </w:pPr>
      <w:r w:rsidRPr="00206C9B">
        <w:rPr>
          <w:rFonts w:asciiTheme="minorHAnsi" w:hAnsiTheme="minorHAnsi" w:cstheme="minorHAnsi"/>
          <w:color w:val="1F497D"/>
          <w:sz w:val="22"/>
          <w:szCs w:val="22"/>
        </w:rPr>
        <w:t xml:space="preserve">A lot of the discussion we see in connection with this proposed rule seems to focus on trying to balance a Patent Owner’s ability to frame a robust substantive argument for the threshold decision of whether to institute trial, on the one hand, and two different groups of competing concerns on the other: first, issues about Petitioner’s ability to challenge (or at least address) new evidence that may be considered in this non-reviewable institution decision, and, second, concerns about creating what might resemble an extra “trial” before the trial.  If a Patent Owner’s submission might lead (with leave from the Board) to a Petitioner reply brief – maybe even with the possibility of submitting reply evidence in appropriate cases – and this might be followed by further requests from the Patent Owner, is there a worry about where it is all likely to end?  How much is enough, and how much is too much?  Even if this can be managed on a </w:t>
      </w:r>
      <w:r w:rsidRPr="00206C9B">
        <w:rPr>
          <w:rFonts w:asciiTheme="minorHAnsi" w:hAnsiTheme="minorHAnsi" w:cstheme="minorHAnsi"/>
          <w:color w:val="1F497D"/>
          <w:sz w:val="22"/>
          <w:szCs w:val="22"/>
        </w:rPr>
        <w:lastRenderedPageBreak/>
        <w:t xml:space="preserve">case-by-case basis, what would this change </w:t>
      </w:r>
      <w:proofErr w:type="spellStart"/>
      <w:r w:rsidRPr="00206C9B">
        <w:rPr>
          <w:rFonts w:asciiTheme="minorHAnsi" w:hAnsiTheme="minorHAnsi" w:cstheme="minorHAnsi"/>
          <w:color w:val="1F497D"/>
          <w:sz w:val="22"/>
          <w:szCs w:val="22"/>
        </w:rPr>
        <w:t>do</w:t>
      </w:r>
      <w:proofErr w:type="spellEnd"/>
      <w:r w:rsidRPr="00206C9B">
        <w:rPr>
          <w:rFonts w:asciiTheme="minorHAnsi" w:hAnsiTheme="minorHAnsi" w:cstheme="minorHAnsi"/>
          <w:color w:val="1F497D"/>
          <w:sz w:val="22"/>
          <w:szCs w:val="22"/>
        </w:rPr>
        <w:t xml:space="preserve"> to costs to the parties and burdens on the Board, given the focus on providing an efficient and less expensive alternative to district court litigation?</w:t>
      </w:r>
    </w:p>
    <w:p w:rsidR="00206C9B" w:rsidRPr="00206C9B" w:rsidRDefault="00206C9B" w:rsidP="00206C9B">
      <w:pPr>
        <w:pStyle w:val="ListParagraph"/>
        <w:rPr>
          <w:rFonts w:asciiTheme="minorHAnsi" w:hAnsiTheme="minorHAnsi" w:cstheme="minorHAnsi"/>
          <w:color w:val="1F497D"/>
          <w:sz w:val="22"/>
          <w:szCs w:val="22"/>
        </w:rPr>
      </w:pPr>
    </w:p>
    <w:p w:rsidR="00B747AD" w:rsidRPr="00B747AD" w:rsidRDefault="00206C9B" w:rsidP="00B747AD">
      <w:pPr>
        <w:pStyle w:val="ListParagraph"/>
        <w:numPr>
          <w:ilvl w:val="0"/>
          <w:numId w:val="6"/>
        </w:numPr>
        <w:rPr>
          <w:rFonts w:asciiTheme="minorHAnsi" w:hAnsiTheme="minorHAnsi" w:cstheme="minorHAnsi"/>
          <w:color w:val="1F497D"/>
          <w:sz w:val="22"/>
          <w:szCs w:val="22"/>
        </w:rPr>
      </w:pPr>
      <w:r w:rsidRPr="00206C9B">
        <w:rPr>
          <w:rFonts w:asciiTheme="minorHAnsi" w:hAnsiTheme="minorHAnsi" w:cstheme="minorHAnsi"/>
          <w:color w:val="1F497D"/>
          <w:sz w:val="22"/>
          <w:szCs w:val="22"/>
        </w:rPr>
        <w:t xml:space="preserve">Over time – at events like this, in road shows, and so on – we’ve heard both practitioners and Board judges suggest that Patent Owner’s should not try to “do everything” in their preliminary response. The proposed new rules expand the scope of what a Patent Owner can submit in </w:t>
      </w:r>
      <w:proofErr w:type="gramStart"/>
      <w:r w:rsidRPr="00206C9B">
        <w:rPr>
          <w:rFonts w:asciiTheme="minorHAnsi" w:hAnsiTheme="minorHAnsi" w:cstheme="minorHAnsi"/>
          <w:color w:val="1F497D"/>
          <w:sz w:val="22"/>
          <w:szCs w:val="22"/>
        </w:rPr>
        <w:t>connection</w:t>
      </w:r>
      <w:proofErr w:type="gramEnd"/>
      <w:r w:rsidRPr="00206C9B">
        <w:rPr>
          <w:rFonts w:asciiTheme="minorHAnsi" w:hAnsiTheme="minorHAnsi" w:cstheme="minorHAnsi"/>
          <w:color w:val="1F497D"/>
          <w:sz w:val="22"/>
          <w:szCs w:val="22"/>
        </w:rPr>
        <w:t xml:space="preserve"> with its preliminary response, but they also indicate that (as proposed) questions of fact that are material to the institution decision will be resolved in favor of the petitioner. (The rule proposal indicates this is, among other things, to preserve the petitioner’s right to challenge statements made by the Patent Owner’s declarant.)  What does this suggest to you about what – and how much – a patent owner should be trying to accomplish in a preliminary response?</w:t>
      </w:r>
    </w:p>
    <w:p w:rsidR="00B747AD" w:rsidRDefault="00B747AD" w:rsidP="00206C9B">
      <w:pPr>
        <w:spacing w:line="240" w:lineRule="auto"/>
        <w:rPr>
          <w:rFonts w:cstheme="minorHAnsi"/>
          <w:b/>
          <w:u w:val="single"/>
        </w:rPr>
      </w:pPr>
    </w:p>
    <w:p w:rsidR="00206C9B" w:rsidRPr="00206C9B" w:rsidRDefault="00206C9B" w:rsidP="00206C9B">
      <w:pPr>
        <w:spacing w:line="240" w:lineRule="auto"/>
        <w:rPr>
          <w:rFonts w:cstheme="minorHAnsi"/>
          <w:b/>
        </w:rPr>
      </w:pPr>
      <w:r>
        <w:rPr>
          <w:rFonts w:cstheme="minorHAnsi"/>
          <w:b/>
          <w:u w:val="single"/>
        </w:rPr>
        <w:t>7:00 to 7:10</w:t>
      </w:r>
      <w:r w:rsidRPr="00206C9B">
        <w:rPr>
          <w:rFonts w:cstheme="minorHAnsi"/>
          <w:b/>
          <w:u w:val="single"/>
        </w:rPr>
        <w:t xml:space="preserve"> pm</w:t>
      </w:r>
      <w:r w:rsidRPr="00206C9B">
        <w:rPr>
          <w:rFonts w:cstheme="minorHAnsi"/>
          <w:b/>
        </w:rPr>
        <w:t>:  Claim Construction Standard—Grace Obermann</w:t>
      </w:r>
    </w:p>
    <w:p w:rsidR="00206C9B" w:rsidRPr="00206C9B" w:rsidRDefault="00206C9B" w:rsidP="00206C9B">
      <w:pPr>
        <w:spacing w:line="240" w:lineRule="auto"/>
        <w:rPr>
          <w:rFonts w:cstheme="minorHAnsi"/>
        </w:rPr>
      </w:pPr>
      <w:r w:rsidRPr="00206C9B">
        <w:rPr>
          <w:rFonts w:cstheme="minorHAnsi"/>
          <w:i/>
        </w:rPr>
        <w:t>Proposed Rule 42.300(b):</w:t>
      </w:r>
      <w:r w:rsidRPr="00206C9B">
        <w:rPr>
          <w:rFonts w:cstheme="minorHAnsi"/>
        </w:rPr>
        <w:t xml:space="preserve"> A claim in an unexpired patent that will not expire before a final written decision is issued shall be given its broadest reasonable construction in light of the specification of the patent in which it appears.</w:t>
      </w:r>
    </w:p>
    <w:p w:rsidR="00206C9B" w:rsidRPr="00206C9B" w:rsidRDefault="00206C9B" w:rsidP="00206C9B">
      <w:pPr>
        <w:spacing w:line="240" w:lineRule="auto"/>
        <w:rPr>
          <w:rFonts w:cstheme="minorHAnsi"/>
          <w:i/>
          <w:color w:val="1F497D" w:themeColor="text2"/>
        </w:rPr>
      </w:pPr>
      <w:r w:rsidRPr="00206C9B">
        <w:rPr>
          <w:rFonts w:cstheme="minorHAnsi"/>
          <w:i/>
          <w:color w:val="1F497D" w:themeColor="text2"/>
        </w:rPr>
        <w:t>Discussion Questions:</w:t>
      </w:r>
    </w:p>
    <w:p w:rsidR="00206C9B" w:rsidRDefault="00206C9B" w:rsidP="00206C9B">
      <w:pPr>
        <w:pStyle w:val="ListParagraph"/>
        <w:numPr>
          <w:ilvl w:val="0"/>
          <w:numId w:val="4"/>
        </w:numPr>
        <w:rPr>
          <w:rFonts w:asciiTheme="minorHAnsi" w:hAnsiTheme="minorHAnsi" w:cstheme="minorHAnsi"/>
          <w:color w:val="1F497D"/>
          <w:sz w:val="22"/>
          <w:szCs w:val="22"/>
        </w:rPr>
      </w:pPr>
      <w:r w:rsidRPr="00206C9B">
        <w:rPr>
          <w:rFonts w:asciiTheme="minorHAnsi" w:hAnsiTheme="minorHAnsi" w:cstheme="minorHAnsi"/>
          <w:color w:val="1F497D"/>
          <w:sz w:val="22"/>
          <w:szCs w:val="22"/>
        </w:rPr>
        <w:t xml:space="preserve">How difficult may it be for a petitioner to ascertain, prior to filing a petition, the likely date of patent expiration and the likely date of final decision?  Should the Board require a petitioner, who believes that the patent will expire prior to issuance of the final decision, to address both the </w:t>
      </w:r>
      <w:r w:rsidRPr="00206C9B">
        <w:rPr>
          <w:rFonts w:asciiTheme="minorHAnsi" w:hAnsiTheme="minorHAnsi" w:cstheme="minorHAnsi"/>
          <w:i/>
          <w:iCs/>
          <w:color w:val="1F497D"/>
          <w:sz w:val="22"/>
          <w:szCs w:val="22"/>
        </w:rPr>
        <w:t>Phillips</w:t>
      </w:r>
      <w:r w:rsidRPr="00206C9B">
        <w:rPr>
          <w:rFonts w:asciiTheme="minorHAnsi" w:hAnsiTheme="minorHAnsi" w:cstheme="minorHAnsi"/>
          <w:color w:val="1F497D"/>
          <w:sz w:val="22"/>
          <w:szCs w:val="22"/>
        </w:rPr>
        <w:t>-type and BRI approach in the petition, or state that either approach yields the same result?</w:t>
      </w:r>
    </w:p>
    <w:p w:rsidR="00206C9B" w:rsidRPr="00206C9B" w:rsidRDefault="00206C9B" w:rsidP="00206C9B">
      <w:pPr>
        <w:pStyle w:val="ListParagraph"/>
        <w:rPr>
          <w:rFonts w:asciiTheme="minorHAnsi" w:hAnsiTheme="minorHAnsi" w:cstheme="minorHAnsi"/>
          <w:color w:val="1F497D"/>
          <w:sz w:val="22"/>
          <w:szCs w:val="22"/>
        </w:rPr>
      </w:pPr>
    </w:p>
    <w:p w:rsidR="00206C9B" w:rsidRPr="00206C9B" w:rsidRDefault="00206C9B" w:rsidP="00206C9B">
      <w:pPr>
        <w:pStyle w:val="ListParagraph"/>
        <w:numPr>
          <w:ilvl w:val="0"/>
          <w:numId w:val="4"/>
        </w:numPr>
        <w:rPr>
          <w:rFonts w:asciiTheme="minorHAnsi" w:hAnsiTheme="minorHAnsi" w:cstheme="minorHAnsi"/>
          <w:color w:val="1F497D"/>
          <w:sz w:val="22"/>
          <w:szCs w:val="22"/>
        </w:rPr>
      </w:pPr>
      <w:r w:rsidRPr="00206C9B">
        <w:rPr>
          <w:rFonts w:asciiTheme="minorHAnsi" w:hAnsiTheme="minorHAnsi" w:cstheme="minorHAnsi"/>
          <w:color w:val="1F497D"/>
          <w:sz w:val="22"/>
          <w:szCs w:val="22"/>
        </w:rPr>
        <w:t xml:space="preserve">Why shouldn’t the rule also apply to unexpired patents subject to a terminal disclaimer prior to final decision?  Is there a workable solution that would allow a Patent Owner unilaterally to forego any opportunity to amend, and thereby “opt-in” to a </w:t>
      </w:r>
      <w:r w:rsidRPr="00206C9B">
        <w:rPr>
          <w:rFonts w:asciiTheme="minorHAnsi" w:hAnsiTheme="minorHAnsi" w:cstheme="minorHAnsi"/>
          <w:i/>
          <w:iCs/>
          <w:color w:val="1F497D"/>
          <w:sz w:val="22"/>
          <w:szCs w:val="22"/>
        </w:rPr>
        <w:t>Phillips</w:t>
      </w:r>
      <w:r w:rsidRPr="00206C9B">
        <w:rPr>
          <w:rFonts w:asciiTheme="minorHAnsi" w:hAnsiTheme="minorHAnsi" w:cstheme="minorHAnsi"/>
          <w:color w:val="1F497D"/>
          <w:sz w:val="22"/>
          <w:szCs w:val="22"/>
        </w:rPr>
        <w:t>-type construction?  What solution would allow a petitioner adequate time to amend the petition to reflect the different claim construction?</w:t>
      </w:r>
    </w:p>
    <w:p w:rsidR="00206C9B" w:rsidRPr="00206C9B" w:rsidRDefault="00206C9B" w:rsidP="00206C9B">
      <w:pPr>
        <w:spacing w:line="240" w:lineRule="auto"/>
        <w:rPr>
          <w:rFonts w:cstheme="minorHAnsi"/>
        </w:rPr>
      </w:pPr>
    </w:p>
    <w:p w:rsidR="00206C9B" w:rsidRPr="00206C9B" w:rsidRDefault="00206C9B" w:rsidP="00206C9B">
      <w:pPr>
        <w:spacing w:line="240" w:lineRule="auto"/>
        <w:rPr>
          <w:rFonts w:cstheme="minorHAnsi"/>
          <w:b/>
          <w:u w:val="single"/>
        </w:rPr>
      </w:pPr>
      <w:r>
        <w:rPr>
          <w:rFonts w:cstheme="minorHAnsi"/>
          <w:b/>
          <w:u w:val="single"/>
        </w:rPr>
        <w:t xml:space="preserve">7:10 to 7:20 pm: </w:t>
      </w:r>
      <w:r w:rsidRPr="00206C9B">
        <w:rPr>
          <w:rFonts w:cstheme="minorHAnsi"/>
          <w:b/>
          <w:u w:val="single"/>
        </w:rPr>
        <w:t>What’s Not in the Proposed Rules</w:t>
      </w:r>
      <w:r>
        <w:rPr>
          <w:rFonts w:cstheme="minorHAnsi"/>
          <w:b/>
          <w:u w:val="single"/>
        </w:rPr>
        <w:t xml:space="preserve">—Scott </w:t>
      </w:r>
      <w:proofErr w:type="spellStart"/>
      <w:r>
        <w:rPr>
          <w:rFonts w:cstheme="minorHAnsi"/>
          <w:b/>
          <w:u w:val="single"/>
        </w:rPr>
        <w:t>McKeown</w:t>
      </w:r>
      <w:proofErr w:type="spellEnd"/>
    </w:p>
    <w:p w:rsidR="00206C9B" w:rsidRPr="00206C9B" w:rsidRDefault="00206C9B" w:rsidP="00206C9B">
      <w:pPr>
        <w:spacing w:after="0" w:line="240" w:lineRule="auto"/>
        <w:rPr>
          <w:rFonts w:cstheme="minorHAnsi"/>
          <w:lang w:val="en"/>
        </w:rPr>
      </w:pPr>
      <w:r w:rsidRPr="00206C9B">
        <w:rPr>
          <w:rFonts w:cstheme="minorHAnsi"/>
          <w:lang w:val="en"/>
        </w:rPr>
        <w:t>Claim amendment practice: to be developed through PTAB decisions</w:t>
      </w:r>
    </w:p>
    <w:p w:rsidR="00B747AD" w:rsidRPr="00B747AD" w:rsidRDefault="00B747AD" w:rsidP="00B747AD">
      <w:pPr>
        <w:pStyle w:val="ListParagraph"/>
        <w:contextualSpacing/>
        <w:rPr>
          <w:rFonts w:asciiTheme="minorHAnsi" w:hAnsiTheme="minorHAnsi" w:cstheme="minorHAnsi"/>
          <w:b/>
          <w:sz w:val="22"/>
          <w:szCs w:val="22"/>
          <w:u w:val="single"/>
        </w:rPr>
      </w:pPr>
    </w:p>
    <w:p w:rsidR="00206C9B" w:rsidRPr="00206C9B" w:rsidRDefault="00206C9B" w:rsidP="00206C9B">
      <w:pPr>
        <w:spacing w:line="240" w:lineRule="auto"/>
        <w:rPr>
          <w:rFonts w:cstheme="minorHAnsi"/>
          <w:i/>
          <w:color w:val="1F497D" w:themeColor="text2"/>
        </w:rPr>
      </w:pPr>
      <w:r>
        <w:rPr>
          <w:rFonts w:cstheme="minorHAnsi"/>
          <w:i/>
          <w:color w:val="1F497D" w:themeColor="text2"/>
        </w:rPr>
        <w:t>Discussion Questions:</w:t>
      </w:r>
    </w:p>
    <w:p w:rsidR="00206C9B" w:rsidRDefault="00206C9B" w:rsidP="00206C9B">
      <w:pPr>
        <w:pStyle w:val="ListParagraph"/>
        <w:numPr>
          <w:ilvl w:val="0"/>
          <w:numId w:val="7"/>
        </w:numPr>
        <w:rPr>
          <w:rFonts w:ascii="Calibri" w:hAnsi="Calibri" w:cs="Calibri"/>
          <w:color w:val="1F497D"/>
          <w:sz w:val="22"/>
          <w:szCs w:val="22"/>
        </w:rPr>
      </w:pPr>
      <w:r>
        <w:rPr>
          <w:rFonts w:ascii="Calibri" w:hAnsi="Calibri" w:cs="Calibri"/>
          <w:color w:val="1F497D"/>
          <w:sz w:val="22"/>
          <w:szCs w:val="22"/>
        </w:rPr>
        <w:t>Will the changes in the motion page count (quick fix), appendix usage and necessary showings (informative opinions) result in more motions to amend being filed in FY 2016?</w:t>
      </w:r>
    </w:p>
    <w:p w:rsidR="00206C9B" w:rsidRDefault="00206C9B" w:rsidP="00206C9B">
      <w:pPr>
        <w:pStyle w:val="ListParagraph"/>
        <w:numPr>
          <w:ilvl w:val="0"/>
          <w:numId w:val="7"/>
        </w:numPr>
        <w:rPr>
          <w:rFonts w:ascii="Calibri" w:hAnsi="Calibri" w:cs="Calibri"/>
          <w:color w:val="1F497D"/>
          <w:sz w:val="22"/>
          <w:szCs w:val="22"/>
        </w:rPr>
      </w:pPr>
      <w:r>
        <w:rPr>
          <w:rFonts w:ascii="Calibri" w:hAnsi="Calibri" w:cs="Calibri"/>
          <w:color w:val="1F497D"/>
          <w:sz w:val="22"/>
          <w:szCs w:val="22"/>
        </w:rPr>
        <w:t xml:space="preserve">Given the motion requirement that amendments distinguish over “prior art known to the patent owner,” what should patentees be doing to ensure that they are satisfying their Duty of Candor?  </w:t>
      </w:r>
    </w:p>
    <w:p w:rsidR="00493DB4" w:rsidRPr="004D1604" w:rsidRDefault="00206C9B" w:rsidP="004D1604">
      <w:pPr>
        <w:pStyle w:val="ListParagraph"/>
        <w:numPr>
          <w:ilvl w:val="1"/>
          <w:numId w:val="7"/>
        </w:numPr>
        <w:rPr>
          <w:rFonts w:ascii="Calibri" w:hAnsi="Calibri" w:cs="Calibri"/>
          <w:color w:val="1F497D"/>
          <w:sz w:val="22"/>
          <w:szCs w:val="22"/>
        </w:rPr>
      </w:pPr>
      <w:r>
        <w:rPr>
          <w:rFonts w:ascii="Calibri" w:hAnsi="Calibri" w:cs="Calibri"/>
          <w:color w:val="1F497D"/>
          <w:sz w:val="22"/>
          <w:szCs w:val="22"/>
        </w:rPr>
        <w:t>Is PTAB amendment practice an invitation to an inequitable conduct charge?</w:t>
      </w:r>
    </w:p>
    <w:sectPr w:rsidR="00493DB4" w:rsidRPr="004D1604" w:rsidSect="003F00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64C" w:rsidRDefault="00ED064C" w:rsidP="008208B1">
      <w:pPr>
        <w:spacing w:after="0" w:line="240" w:lineRule="auto"/>
      </w:pPr>
      <w:r>
        <w:separator/>
      </w:r>
    </w:p>
  </w:endnote>
  <w:endnote w:type="continuationSeparator" w:id="0">
    <w:p w:rsidR="00ED064C" w:rsidRDefault="00ED064C" w:rsidP="0082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64C" w:rsidRDefault="00ED064C" w:rsidP="008208B1">
      <w:pPr>
        <w:spacing w:after="0" w:line="240" w:lineRule="auto"/>
      </w:pPr>
      <w:r>
        <w:separator/>
      </w:r>
    </w:p>
  </w:footnote>
  <w:footnote w:type="continuationSeparator" w:id="0">
    <w:p w:rsidR="00ED064C" w:rsidRDefault="00ED064C" w:rsidP="008208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E19CC"/>
    <w:multiLevelType w:val="hybridMultilevel"/>
    <w:tmpl w:val="F11AF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662124B"/>
    <w:multiLevelType w:val="hybridMultilevel"/>
    <w:tmpl w:val="FEA4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BB796E"/>
    <w:multiLevelType w:val="hybridMultilevel"/>
    <w:tmpl w:val="AC3628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AA1B23"/>
    <w:multiLevelType w:val="hybridMultilevel"/>
    <w:tmpl w:val="8546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1421E1"/>
    <w:multiLevelType w:val="hybridMultilevel"/>
    <w:tmpl w:val="8D08E9EE"/>
    <w:lvl w:ilvl="0" w:tplc="F90CC60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6696E73"/>
    <w:multiLevelType w:val="hybridMultilevel"/>
    <w:tmpl w:val="D71CE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8B1"/>
    <w:rsid w:val="00206C9B"/>
    <w:rsid w:val="003D3EBE"/>
    <w:rsid w:val="003F00C6"/>
    <w:rsid w:val="00493DB4"/>
    <w:rsid w:val="004D1604"/>
    <w:rsid w:val="008208B1"/>
    <w:rsid w:val="00A10293"/>
    <w:rsid w:val="00B747AD"/>
    <w:rsid w:val="00CB3F87"/>
    <w:rsid w:val="00ED0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08B1"/>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0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8B1"/>
  </w:style>
  <w:style w:type="paragraph" w:styleId="Footer">
    <w:name w:val="footer"/>
    <w:basedOn w:val="Normal"/>
    <w:link w:val="FooterChar"/>
    <w:uiPriority w:val="99"/>
    <w:unhideWhenUsed/>
    <w:rsid w:val="00820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8B1"/>
  </w:style>
  <w:style w:type="paragraph" w:styleId="ListParagraph">
    <w:name w:val="List Paragraph"/>
    <w:basedOn w:val="Normal"/>
    <w:uiPriority w:val="34"/>
    <w:qFormat/>
    <w:rsid w:val="00206C9B"/>
    <w:pPr>
      <w:spacing w:after="0" w:line="240" w:lineRule="auto"/>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08B1"/>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0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8B1"/>
  </w:style>
  <w:style w:type="paragraph" w:styleId="Footer">
    <w:name w:val="footer"/>
    <w:basedOn w:val="Normal"/>
    <w:link w:val="FooterChar"/>
    <w:uiPriority w:val="99"/>
    <w:unhideWhenUsed/>
    <w:rsid w:val="00820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8B1"/>
  </w:style>
  <w:style w:type="paragraph" w:styleId="ListParagraph">
    <w:name w:val="List Paragraph"/>
    <w:basedOn w:val="Normal"/>
    <w:uiPriority w:val="34"/>
    <w:qFormat/>
    <w:rsid w:val="00206C9B"/>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3685">
      <w:bodyDiv w:val="1"/>
      <w:marLeft w:val="0"/>
      <w:marRight w:val="0"/>
      <w:marTop w:val="0"/>
      <w:marBottom w:val="0"/>
      <w:divBdr>
        <w:top w:val="none" w:sz="0" w:space="0" w:color="auto"/>
        <w:left w:val="none" w:sz="0" w:space="0" w:color="auto"/>
        <w:bottom w:val="none" w:sz="0" w:space="0" w:color="auto"/>
        <w:right w:val="none" w:sz="0" w:space="0" w:color="auto"/>
      </w:divBdr>
    </w:div>
    <w:div w:id="539171314">
      <w:bodyDiv w:val="1"/>
      <w:marLeft w:val="0"/>
      <w:marRight w:val="0"/>
      <w:marTop w:val="0"/>
      <w:marBottom w:val="0"/>
      <w:divBdr>
        <w:top w:val="none" w:sz="0" w:space="0" w:color="auto"/>
        <w:left w:val="none" w:sz="0" w:space="0" w:color="auto"/>
        <w:bottom w:val="none" w:sz="0" w:space="0" w:color="auto"/>
        <w:right w:val="none" w:sz="0" w:space="0" w:color="auto"/>
      </w:divBdr>
    </w:div>
    <w:div w:id="543182288">
      <w:bodyDiv w:val="1"/>
      <w:marLeft w:val="0"/>
      <w:marRight w:val="0"/>
      <w:marTop w:val="0"/>
      <w:marBottom w:val="0"/>
      <w:divBdr>
        <w:top w:val="none" w:sz="0" w:space="0" w:color="auto"/>
        <w:left w:val="none" w:sz="0" w:space="0" w:color="auto"/>
        <w:bottom w:val="none" w:sz="0" w:space="0" w:color="auto"/>
        <w:right w:val="none" w:sz="0" w:space="0" w:color="auto"/>
      </w:divBdr>
    </w:div>
    <w:div w:id="145143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USPTO</cp:lastModifiedBy>
  <cp:revision>2</cp:revision>
  <cp:lastPrinted>2015-09-15T21:29:00Z</cp:lastPrinted>
  <dcterms:created xsi:type="dcterms:W3CDTF">2015-09-15T21:30:00Z</dcterms:created>
  <dcterms:modified xsi:type="dcterms:W3CDTF">2015-09-15T21:30:00Z</dcterms:modified>
</cp:coreProperties>
</file>